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526426949"/>
    <w:bookmarkStart w:id="1" w:name="_Toc526428530"/>
    <w:bookmarkStart w:id="2" w:name="_Toc526429635"/>
    <w:bookmarkStart w:id="3" w:name="_Toc527315911"/>
    <w:bookmarkStart w:id="4" w:name="_Toc527360404"/>
    <w:bookmarkStart w:id="5" w:name="_Toc527396257"/>
    <w:bookmarkStart w:id="6" w:name="_Toc527400801"/>
    <w:p w14:paraId="00F6EC2C" w14:textId="4FB5E249" w:rsidR="00C778D9" w:rsidRDefault="00C778D9" w:rsidP="00C778D9">
      <w:pPr>
        <w:pStyle w:val="Heading1"/>
        <w:spacing w:line="240" w:lineRule="auto"/>
        <w:ind w:left="-709" w:right="-755"/>
        <w:rPr>
          <w:rFonts w:cs="Tahoma"/>
          <w:b w:val="0"/>
          <w:szCs w:val="48"/>
        </w:rPr>
      </w:pPr>
      <w:r>
        <w:rPr>
          <w:rFonts w:cs="Tahoma"/>
          <w:b w:val="0"/>
          <w:noProof/>
          <w:szCs w:val="48"/>
        </w:rPr>
        <mc:AlternateContent>
          <mc:Choice Requires="wps">
            <w:drawing>
              <wp:anchor distT="0" distB="0" distL="114300" distR="114300" simplePos="0" relativeHeight="251661312" behindDoc="0" locked="0" layoutInCell="1" allowOverlap="1" wp14:anchorId="2C404E1C" wp14:editId="3A0144A4">
                <wp:simplePos x="0" y="0"/>
                <wp:positionH relativeFrom="column">
                  <wp:posOffset>5486400</wp:posOffset>
                </wp:positionH>
                <wp:positionV relativeFrom="paragraph">
                  <wp:posOffset>-486410</wp:posOffset>
                </wp:positionV>
                <wp:extent cx="676275" cy="295275"/>
                <wp:effectExtent l="0" t="0" r="9525" b="9525"/>
                <wp:wrapNone/>
                <wp:docPr id="6" name="Rectangle 6"/>
                <wp:cNvGraphicFramePr/>
                <a:graphic xmlns:a="http://schemas.openxmlformats.org/drawingml/2006/main">
                  <a:graphicData uri="http://schemas.microsoft.com/office/word/2010/wordprocessingShape">
                    <wps:wsp>
                      <wps:cNvSpPr/>
                      <wps:spPr>
                        <a:xfrm>
                          <a:off x="0" y="0"/>
                          <a:ext cx="676275" cy="295275"/>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F8C060" id="Rectangle 6" o:spid="_x0000_s1026" style="position:absolute;margin-left:6in;margin-top:-38.3pt;width:53.25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" fillcolor="window" stroked="f" strokeweight="1pt"/>
            </w:pict>
          </mc:Fallback>
        </mc:AlternateContent>
      </w:r>
      <w:r w:rsidRPr="00AE6D26">
        <w:rPr>
          <w:rFonts w:cs="Tahoma"/>
          <w:b w:val="0"/>
          <w:szCs w:val="48"/>
        </w:rPr>
        <w:tab/>
      </w:r>
      <w:bookmarkStart w:id="7" w:name="_Toc527361919"/>
      <w:bookmarkStart w:id="8" w:name="_Toc527375850"/>
      <w:bookmarkStart w:id="9" w:name="_Toc527381214"/>
      <w:r>
        <w:rPr>
          <w:rFonts w:cs="Tahoma"/>
          <w:noProof/>
          <w:szCs w:val="28"/>
          <w:highlight w:val="yellow"/>
          <w:lang w:eastAsia="en-GB"/>
        </w:rPr>
        <w:drawing>
          <wp:anchor distT="0" distB="0" distL="114300" distR="114300" simplePos="0" relativeHeight="251659264" behindDoc="0" locked="0" layoutInCell="1" allowOverlap="1" wp14:anchorId="5DB31175" wp14:editId="39B19317">
            <wp:simplePos x="0" y="0"/>
            <wp:positionH relativeFrom="column">
              <wp:posOffset>1362075</wp:posOffset>
            </wp:positionH>
            <wp:positionV relativeFrom="paragraph">
              <wp:posOffset>398780</wp:posOffset>
            </wp:positionV>
            <wp:extent cx="3219450" cy="3616563"/>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19450" cy="3616563"/>
                    </a:xfrm>
                    <a:prstGeom prst="rect">
                      <a:avLst/>
                    </a:prstGeom>
                    <a:noFill/>
                    <a:ln>
                      <a:noFill/>
                    </a:ln>
                  </pic:spPr>
                </pic:pic>
              </a:graphicData>
            </a:graphic>
          </wp:anchor>
        </w:drawing>
      </w:r>
      <w:bookmarkEnd w:id="0"/>
      <w:bookmarkEnd w:id="1"/>
      <w:bookmarkEnd w:id="2"/>
      <w:bookmarkEnd w:id="3"/>
      <w:bookmarkEnd w:id="4"/>
      <w:bookmarkEnd w:id="5"/>
      <w:bookmarkEnd w:id="6"/>
      <w:bookmarkEnd w:id="7"/>
      <w:bookmarkEnd w:id="8"/>
      <w:bookmarkEnd w:id="9"/>
    </w:p>
    <w:p w14:paraId="1BCF12DA" w14:textId="77777777" w:rsidR="00C778D9" w:rsidRDefault="00C778D9" w:rsidP="00C778D9">
      <w:pPr>
        <w:pStyle w:val="Heading1"/>
        <w:spacing w:line="240" w:lineRule="auto"/>
        <w:rPr>
          <w:rFonts w:cs="Tahoma"/>
          <w:b w:val="0"/>
          <w:szCs w:val="48"/>
        </w:rPr>
      </w:pPr>
    </w:p>
    <w:p w14:paraId="7212F7E1" w14:textId="77777777" w:rsidR="00C778D9" w:rsidRDefault="00C778D9" w:rsidP="00C778D9">
      <w:pPr>
        <w:pStyle w:val="Heading1"/>
        <w:spacing w:line="240" w:lineRule="auto"/>
        <w:rPr>
          <w:rFonts w:cs="Tahoma"/>
          <w:b w:val="0"/>
          <w:szCs w:val="48"/>
        </w:rPr>
      </w:pPr>
    </w:p>
    <w:p w14:paraId="5CBC7167" w14:textId="77777777" w:rsidR="00C778D9" w:rsidRDefault="00C778D9" w:rsidP="00C778D9">
      <w:pPr>
        <w:pStyle w:val="Heading1"/>
        <w:spacing w:line="240" w:lineRule="auto"/>
        <w:rPr>
          <w:rFonts w:cs="Tahoma"/>
          <w:b w:val="0"/>
          <w:szCs w:val="48"/>
        </w:rPr>
      </w:pPr>
    </w:p>
    <w:p w14:paraId="44576BFC" w14:textId="77777777" w:rsidR="00C778D9" w:rsidRDefault="00C778D9" w:rsidP="00C778D9">
      <w:pPr>
        <w:pStyle w:val="Heading1"/>
        <w:spacing w:line="240" w:lineRule="auto"/>
        <w:rPr>
          <w:rFonts w:cs="Tahoma"/>
          <w:b w:val="0"/>
          <w:szCs w:val="48"/>
        </w:rPr>
      </w:pPr>
    </w:p>
    <w:p w14:paraId="68D68E24" w14:textId="77777777" w:rsidR="00C778D9" w:rsidRDefault="00C778D9" w:rsidP="00C778D9">
      <w:pPr>
        <w:pStyle w:val="Heading1"/>
        <w:spacing w:line="240" w:lineRule="auto"/>
        <w:jc w:val="center"/>
        <w:rPr>
          <w:rFonts w:cs="Tahoma"/>
          <w:szCs w:val="48"/>
        </w:rPr>
      </w:pPr>
      <w:bookmarkStart w:id="10" w:name="_Toc526426950"/>
    </w:p>
    <w:p w14:paraId="0A17F4FD" w14:textId="77777777" w:rsidR="00C778D9" w:rsidRDefault="00C778D9" w:rsidP="00C778D9">
      <w:pPr>
        <w:pStyle w:val="Heading1"/>
        <w:spacing w:line="240" w:lineRule="auto"/>
        <w:jc w:val="center"/>
        <w:rPr>
          <w:rFonts w:cs="Tahoma"/>
          <w:szCs w:val="48"/>
        </w:rPr>
      </w:pPr>
    </w:p>
    <w:p w14:paraId="541E55B1" w14:textId="77777777" w:rsidR="00C778D9" w:rsidRDefault="00C778D9" w:rsidP="00C778D9">
      <w:pPr>
        <w:pStyle w:val="Heading1"/>
        <w:spacing w:line="240" w:lineRule="auto"/>
        <w:jc w:val="center"/>
        <w:rPr>
          <w:rFonts w:cs="Tahoma"/>
          <w:szCs w:val="48"/>
        </w:rPr>
      </w:pPr>
    </w:p>
    <w:p w14:paraId="2ACA4197" w14:textId="77777777" w:rsidR="00C778D9" w:rsidRDefault="00C778D9" w:rsidP="00C778D9">
      <w:pPr>
        <w:pStyle w:val="Heading1"/>
        <w:spacing w:line="240" w:lineRule="auto"/>
        <w:jc w:val="center"/>
        <w:rPr>
          <w:rFonts w:cs="Tahoma"/>
          <w:szCs w:val="48"/>
        </w:rPr>
      </w:pPr>
    </w:p>
    <w:bookmarkEnd w:id="10"/>
    <w:p w14:paraId="2DEE054E" w14:textId="77777777" w:rsidR="00C778D9" w:rsidRDefault="00C778D9" w:rsidP="00C778D9">
      <w:pPr>
        <w:spacing w:line="240" w:lineRule="auto"/>
        <w:jc w:val="center"/>
      </w:pPr>
      <w:r>
        <w:rPr>
          <w:noProof/>
        </w:rPr>
        <mc:AlternateContent>
          <mc:Choice Requires="wps">
            <w:drawing>
              <wp:anchor distT="0" distB="0" distL="114300" distR="114300" simplePos="0" relativeHeight="251660288" behindDoc="0" locked="0" layoutInCell="1" allowOverlap="1" wp14:anchorId="6C64AE2C" wp14:editId="6D7ABF80">
                <wp:simplePos x="0" y="0"/>
                <wp:positionH relativeFrom="column">
                  <wp:posOffset>19050</wp:posOffset>
                </wp:positionH>
                <wp:positionV relativeFrom="paragraph">
                  <wp:posOffset>177165</wp:posOffset>
                </wp:positionV>
                <wp:extent cx="5800725" cy="635"/>
                <wp:effectExtent l="0" t="19050" r="28575" b="37465"/>
                <wp:wrapNone/>
                <wp:docPr id="4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635"/>
                        </a:xfrm>
                        <a:prstGeom prst="straightConnector1">
                          <a:avLst/>
                        </a:prstGeom>
                        <a:noFill/>
                        <a:ln w="476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889AA" id="_x0000_t32" coordsize="21600,21600" o:spt="32" o:oned="t" path="m,l21600,21600e" filled="f">
                <v:path arrowok="t" fillok="f" o:connecttype="none"/>
                <o:lock v:ext="edit" shapetype="t"/>
              </v:shapetype>
              <v:shape id="AutoShape 34" o:spid="_x0000_s1026" type="#_x0000_t32" style="position:absolute;margin-left:1.5pt;margin-top:13.95pt;width:456.7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" strokecolor="green" strokeweight="3.75pt"/>
            </w:pict>
          </mc:Fallback>
        </mc:AlternateContent>
      </w:r>
    </w:p>
    <w:p w14:paraId="4AC8E874" w14:textId="030BE8CF" w:rsidR="00D46DD4" w:rsidRDefault="00C778D9" w:rsidP="00D46DD4">
      <w:pPr>
        <w:spacing w:line="240" w:lineRule="auto"/>
        <w:jc w:val="center"/>
        <w:rPr>
          <w:rFonts w:cs="Tahoma"/>
          <w:b/>
          <w:sz w:val="40"/>
          <w:szCs w:val="40"/>
        </w:rPr>
      </w:pPr>
      <w:r w:rsidRPr="00244590">
        <w:rPr>
          <w:rFonts w:cs="Tahoma"/>
          <w:b/>
          <w:sz w:val="40"/>
          <w:szCs w:val="40"/>
        </w:rPr>
        <w:t xml:space="preserve">Merton CIL’s </w:t>
      </w:r>
      <w:r w:rsidRPr="00C778D9">
        <w:rPr>
          <w:rFonts w:cs="Tahoma"/>
          <w:b/>
          <w:sz w:val="40"/>
          <w:szCs w:val="40"/>
        </w:rPr>
        <w:t xml:space="preserve">response to </w:t>
      </w:r>
      <w:r w:rsidR="00B96096">
        <w:rPr>
          <w:rFonts w:cs="Tahoma"/>
          <w:b/>
          <w:sz w:val="40"/>
          <w:szCs w:val="40"/>
        </w:rPr>
        <w:t xml:space="preserve">the Council’s Housing </w:t>
      </w:r>
      <w:r w:rsidR="006D590F">
        <w:rPr>
          <w:rFonts w:cs="Tahoma"/>
          <w:b/>
          <w:sz w:val="40"/>
          <w:szCs w:val="40"/>
        </w:rPr>
        <w:t xml:space="preserve">Delivery </w:t>
      </w:r>
      <w:r w:rsidR="002B2EAD">
        <w:rPr>
          <w:rFonts w:cs="Tahoma"/>
          <w:b/>
          <w:sz w:val="40"/>
          <w:szCs w:val="40"/>
        </w:rPr>
        <w:t xml:space="preserve">Strategy </w:t>
      </w:r>
      <w:r w:rsidR="006D590F">
        <w:rPr>
          <w:rFonts w:cs="Tahoma"/>
          <w:b/>
          <w:sz w:val="40"/>
          <w:szCs w:val="40"/>
        </w:rPr>
        <w:t xml:space="preserve">Consultation </w:t>
      </w:r>
      <w:r w:rsidR="002B2EAD">
        <w:rPr>
          <w:rFonts w:cs="Tahoma"/>
          <w:b/>
          <w:sz w:val="40"/>
          <w:szCs w:val="40"/>
        </w:rPr>
        <w:t xml:space="preserve"> </w:t>
      </w:r>
    </w:p>
    <w:p w14:paraId="7AEEF894" w14:textId="3CC34C7D" w:rsidR="00CE731A" w:rsidRDefault="00CE731A" w:rsidP="00D46DD4">
      <w:pPr>
        <w:spacing w:line="240" w:lineRule="auto"/>
        <w:jc w:val="center"/>
        <w:rPr>
          <w:rFonts w:cs="Tahoma"/>
          <w:b/>
          <w:sz w:val="40"/>
          <w:szCs w:val="40"/>
        </w:rPr>
      </w:pPr>
    </w:p>
    <w:p w14:paraId="2B5A3898" w14:textId="77777777" w:rsidR="00CE731A" w:rsidRPr="00244590" w:rsidRDefault="00CE731A" w:rsidP="00D46DD4">
      <w:pPr>
        <w:spacing w:line="240" w:lineRule="auto"/>
        <w:jc w:val="center"/>
        <w:rPr>
          <w:rFonts w:cs="Tahoma"/>
          <w:b/>
          <w:sz w:val="40"/>
          <w:szCs w:val="40"/>
        </w:rPr>
      </w:pPr>
    </w:p>
    <w:p w14:paraId="1F4E44C6" w14:textId="509935CB" w:rsidR="00C778D9" w:rsidRPr="006D590F" w:rsidRDefault="006D590F" w:rsidP="00C778D9">
      <w:pPr>
        <w:spacing w:line="240" w:lineRule="auto"/>
        <w:jc w:val="center"/>
        <w:rPr>
          <w:rFonts w:cs="Tahoma"/>
          <w:bCs/>
          <w:sz w:val="40"/>
          <w:szCs w:val="40"/>
        </w:rPr>
      </w:pPr>
      <w:r>
        <w:rPr>
          <w:rFonts w:cs="Tahoma"/>
          <w:bCs/>
          <w:sz w:val="40"/>
          <w:szCs w:val="40"/>
        </w:rPr>
        <w:t>October 2021</w:t>
      </w:r>
    </w:p>
    <w:p w14:paraId="18B125B1" w14:textId="77777777" w:rsidR="00C778D9" w:rsidRDefault="00C778D9" w:rsidP="00C778D9">
      <w:pPr>
        <w:spacing w:line="240" w:lineRule="auto"/>
        <w:rPr>
          <w:rFonts w:cs="Tahoma"/>
          <w:b/>
          <w:sz w:val="32"/>
          <w:szCs w:val="28"/>
        </w:rPr>
      </w:pPr>
    </w:p>
    <w:p w14:paraId="5EFFAEE5" w14:textId="77777777" w:rsidR="00C778D9" w:rsidRDefault="00C778D9" w:rsidP="00C778D9">
      <w:pPr>
        <w:spacing w:line="240" w:lineRule="auto"/>
        <w:rPr>
          <w:rFonts w:cs="Tahoma"/>
          <w:b/>
          <w:sz w:val="32"/>
          <w:szCs w:val="28"/>
        </w:rPr>
      </w:pPr>
    </w:p>
    <w:p w14:paraId="08962ED9" w14:textId="188A8D33" w:rsidR="00C778D9" w:rsidRDefault="00C778D9">
      <w:r>
        <w:br w:type="page"/>
      </w:r>
    </w:p>
    <w:p w14:paraId="15D5ED39" w14:textId="77777777" w:rsidR="00256CC8" w:rsidRPr="00CD02D5" w:rsidRDefault="00256CC8" w:rsidP="00256CC8">
      <w:pPr>
        <w:pStyle w:val="Heading2"/>
      </w:pPr>
      <w:r w:rsidRPr="00CD02D5">
        <w:lastRenderedPageBreak/>
        <w:t xml:space="preserve">Background </w:t>
      </w:r>
    </w:p>
    <w:p w14:paraId="4AFA6DA9" w14:textId="77777777" w:rsidR="00256CC8" w:rsidRPr="00CD02D5" w:rsidRDefault="00256CC8" w:rsidP="00256CC8">
      <w:pPr>
        <w:spacing w:line="240" w:lineRule="auto"/>
      </w:pPr>
      <w:r w:rsidRPr="00CD02D5">
        <w:rPr>
          <w:noProof/>
        </w:rPr>
        <mc:AlternateContent>
          <mc:Choice Requires="wps">
            <w:drawing>
              <wp:anchor distT="0" distB="0" distL="114300" distR="114300" simplePos="0" relativeHeight="251665408" behindDoc="0" locked="0" layoutInCell="1" allowOverlap="1" wp14:anchorId="229A150D" wp14:editId="0C265AD5">
                <wp:simplePos x="0" y="0"/>
                <wp:positionH relativeFrom="column">
                  <wp:posOffset>19050</wp:posOffset>
                </wp:positionH>
                <wp:positionV relativeFrom="paragraph">
                  <wp:posOffset>119380</wp:posOffset>
                </wp:positionV>
                <wp:extent cx="5800725" cy="635"/>
                <wp:effectExtent l="0" t="19050" r="9525" b="18415"/>
                <wp:wrapNone/>
                <wp:docPr id="1"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635"/>
                        </a:xfrm>
                        <a:prstGeom prst="straightConnector1">
                          <a:avLst/>
                        </a:prstGeom>
                        <a:noFill/>
                        <a:ln w="34925">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68082E" id="_x0000_t32" coordsize="21600,21600" o:spt="32" o:oned="t" path="m,l21600,21600e" filled="f">
                <v:path arrowok="t" fillok="f" o:connecttype="none"/>
                <o:lock v:ext="edit" shapetype="t"/>
              </v:shapetype>
              <v:shape id="AutoShape 28" o:spid="_x0000_s1026" type="#_x0000_t32" style="position:absolute;margin-left:1.5pt;margin-top:9.4pt;width:456.75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" strokecolor="green" strokeweight="2.75pt"/>
            </w:pict>
          </mc:Fallback>
        </mc:AlternateContent>
      </w:r>
    </w:p>
    <w:p w14:paraId="044DD0F4" w14:textId="77777777" w:rsidR="00256CC8" w:rsidRPr="00CD02D5" w:rsidRDefault="00256CC8" w:rsidP="00256CC8">
      <w:pPr>
        <w:pStyle w:val="Heading2"/>
      </w:pPr>
      <w:r w:rsidRPr="00CD02D5">
        <w:t>About Merton CIL</w:t>
      </w:r>
    </w:p>
    <w:p w14:paraId="3855CAFA" w14:textId="30E317E5" w:rsidR="00256CC8" w:rsidRPr="00CD02D5" w:rsidRDefault="00256CC8" w:rsidP="00256CC8">
      <w:pPr>
        <w:spacing w:line="240" w:lineRule="auto"/>
        <w:rPr>
          <w:rFonts w:cs="Tahoma"/>
          <w:noProof/>
          <w:szCs w:val="28"/>
        </w:rPr>
      </w:pPr>
      <w:r w:rsidRPr="00CD02D5">
        <w:rPr>
          <w:rFonts w:cs="Tahoma"/>
          <w:noProof/>
          <w:szCs w:val="28"/>
        </w:rPr>
        <w:t xml:space="preserve">Merton CIL is a pan-Disability user-led Deaf and Disabled People’s Organisation </w:t>
      </w:r>
      <w:r w:rsidR="00A543AD">
        <w:rPr>
          <w:rFonts w:cs="Tahoma"/>
          <w:noProof/>
          <w:szCs w:val="28"/>
        </w:rPr>
        <w:t>that</w:t>
      </w:r>
      <w:r w:rsidRPr="00CD02D5">
        <w:rPr>
          <w:rFonts w:cs="Tahoma"/>
          <w:noProof/>
          <w:szCs w:val="28"/>
        </w:rPr>
        <w:t xml:space="preserve"> has been supporting Deaf and Disabled People in the borough since 2008. We work with people with all types of impairment including physical impairments, sensory impairments, mental health service users, people with learning difficulties and people with chronic illness or long term ill-health. Many of our service users have more than one impairment, and many are also carers and/or parents. Deaf and Disabled People do not have to be members to use our services but we do have an ever-growing membership who shape our direction and focus as an organisation. At the end </w:t>
      </w:r>
      <w:r w:rsidR="00894DBA">
        <w:rPr>
          <w:rFonts w:cs="Tahoma"/>
          <w:noProof/>
          <w:szCs w:val="28"/>
        </w:rPr>
        <w:t xml:space="preserve">of </w:t>
      </w:r>
      <w:r w:rsidRPr="00CD02D5">
        <w:rPr>
          <w:rFonts w:cs="Tahoma"/>
          <w:noProof/>
          <w:szCs w:val="28"/>
        </w:rPr>
        <w:t>2020 Merton CIL had 362 members.</w:t>
      </w:r>
    </w:p>
    <w:p w14:paraId="4E58A459" w14:textId="77777777" w:rsidR="00256CC8" w:rsidRPr="00CD02D5" w:rsidRDefault="00256CC8" w:rsidP="00256CC8">
      <w:pPr>
        <w:spacing w:line="240" w:lineRule="auto"/>
        <w:rPr>
          <w:rFonts w:cs="Tahoma"/>
          <w:noProof/>
          <w:szCs w:val="28"/>
        </w:rPr>
      </w:pPr>
      <w:r w:rsidRPr="00CD02D5">
        <w:rPr>
          <w:rFonts w:cs="Tahoma"/>
          <w:noProof/>
          <w:szCs w:val="28"/>
        </w:rPr>
        <w:t>In 2020 our advice and advocacy service worked with 265, providing just over 1,000 sessions of advice on a range of issues including social care, benefits, and hate crime. Many of the service users we support experience problems with a range of issues that are often interlinked. We also reached over 1,000 people through events and outreach, and just over 3,000 people followed us across our social media platforms.</w:t>
      </w:r>
    </w:p>
    <w:p w14:paraId="39A5C7C5" w14:textId="6F364E35" w:rsidR="00256CC8" w:rsidRPr="00CD02D5" w:rsidRDefault="00256CC8" w:rsidP="00256CC8">
      <w:pPr>
        <w:spacing w:line="240" w:lineRule="auto"/>
        <w:rPr>
          <w:rFonts w:cs="Tahoma"/>
          <w:noProof/>
          <w:szCs w:val="28"/>
        </w:rPr>
      </w:pPr>
      <w:r w:rsidRPr="00CD02D5">
        <w:rPr>
          <w:rFonts w:cs="Tahoma"/>
          <w:noProof/>
          <w:szCs w:val="28"/>
        </w:rPr>
        <w:t xml:space="preserve">While </w:t>
      </w:r>
      <w:r w:rsidRPr="00CD02D5">
        <w:rPr>
          <w:rFonts w:cs="Tahoma"/>
          <w:szCs w:val="28"/>
        </w:rPr>
        <w:t xml:space="preserve">Merton CIL’s main role is to provide advice and advocacy support for individuals, we also engage with local consultation and co-production </w:t>
      </w:r>
      <w:r w:rsidR="007B3DE5">
        <w:rPr>
          <w:rFonts w:cs="Tahoma"/>
          <w:szCs w:val="28"/>
        </w:rPr>
        <w:t>to work with the Council and the voluntary sector in the borough.</w:t>
      </w:r>
    </w:p>
    <w:p w14:paraId="27ED9773" w14:textId="77777777" w:rsidR="00256CC8" w:rsidRPr="00CD02D5" w:rsidRDefault="00256CC8" w:rsidP="00256CC8">
      <w:pPr>
        <w:pStyle w:val="Heading2"/>
      </w:pPr>
      <w:r w:rsidRPr="00CD02D5">
        <w:t>Deaf and Disabled people in Merton</w:t>
      </w:r>
    </w:p>
    <w:p w14:paraId="60D7EA2C" w14:textId="24079B50" w:rsidR="00256CC8" w:rsidRDefault="00256CC8" w:rsidP="00256CC8">
      <w:pPr>
        <w:spacing w:line="240" w:lineRule="auto"/>
        <w:rPr>
          <w:rFonts w:cs="Tahoma"/>
          <w:szCs w:val="28"/>
        </w:rPr>
      </w:pPr>
      <w:r w:rsidRPr="00CD02D5">
        <w:rPr>
          <w:rFonts w:cs="Tahoma"/>
          <w:szCs w:val="28"/>
        </w:rPr>
        <w:t>The London Borough of Merton has a population of 209,421 people</w:t>
      </w:r>
      <w:r w:rsidRPr="00CD02D5">
        <w:rPr>
          <w:rStyle w:val="FootnoteReference"/>
          <w:rFonts w:cs="Tahoma"/>
          <w:szCs w:val="28"/>
        </w:rPr>
        <w:footnoteReference w:id="1"/>
      </w:r>
      <w:r w:rsidRPr="00CD02D5">
        <w:rPr>
          <w:rFonts w:cs="Tahoma"/>
          <w:szCs w:val="28"/>
        </w:rPr>
        <w:t xml:space="preserve">. According to the 2011 census, 25,232 residents felt their </w:t>
      </w:r>
      <w:r w:rsidR="007B3DE5" w:rsidRPr="00CD02D5">
        <w:rPr>
          <w:rFonts w:cs="Tahoma"/>
          <w:szCs w:val="28"/>
        </w:rPr>
        <w:t>day-to-day</w:t>
      </w:r>
      <w:r w:rsidRPr="00CD02D5">
        <w:rPr>
          <w:rFonts w:cs="Tahoma"/>
          <w:szCs w:val="28"/>
        </w:rPr>
        <w:t xml:space="preserve"> activities were limited a little or a lot, about 12% of the population.</w:t>
      </w:r>
    </w:p>
    <w:p w14:paraId="563F7A31" w14:textId="131870FB" w:rsidR="00256CC8" w:rsidRDefault="00256CC8" w:rsidP="00256CC8">
      <w:pPr>
        <w:spacing w:line="240" w:lineRule="auto"/>
        <w:rPr>
          <w:rFonts w:cs="Tahoma"/>
          <w:szCs w:val="28"/>
        </w:rPr>
      </w:pPr>
      <w:r>
        <w:rPr>
          <w:rFonts w:cs="Tahoma"/>
          <w:szCs w:val="28"/>
        </w:rPr>
        <w:t xml:space="preserve">The Greater London Authority (GLA) estimates that by 2020 Merton’s population had increased by just over 1% to 211,787, which would bring the number of Deaf and Disabled people to approximately 25,484. </w:t>
      </w:r>
      <w:r>
        <w:rPr>
          <w:rStyle w:val="FootnoteReference"/>
          <w:rFonts w:cs="Tahoma"/>
          <w:szCs w:val="28"/>
        </w:rPr>
        <w:footnoteReference w:id="2"/>
      </w:r>
      <w:r>
        <w:rPr>
          <w:rFonts w:cs="Tahoma"/>
          <w:szCs w:val="28"/>
        </w:rPr>
        <w:t>The GLA projects that Merton’s population will increase to 225,157 people by 2031. If the proportion of Deaf and Disabled people remains at 12%, this would mean there will be 27,018 Deaf and Disabled people in Merton in 2031. The likelihood is that the ag</w:t>
      </w:r>
      <w:r w:rsidR="00894DBA">
        <w:rPr>
          <w:rFonts w:cs="Tahoma"/>
          <w:szCs w:val="28"/>
        </w:rPr>
        <w:t>e</w:t>
      </w:r>
      <w:r>
        <w:rPr>
          <w:rFonts w:cs="Tahoma"/>
          <w:szCs w:val="28"/>
        </w:rPr>
        <w:t>ing population will mean the proportion of Deaf and Disabled people will increase.</w:t>
      </w:r>
    </w:p>
    <w:p w14:paraId="5C3F8C55" w14:textId="77777777" w:rsidR="00256CC8" w:rsidRDefault="00256CC8" w:rsidP="00256CC8">
      <w:pPr>
        <w:spacing w:line="240" w:lineRule="auto"/>
        <w:rPr>
          <w:rFonts w:cs="Tahoma"/>
          <w:szCs w:val="28"/>
        </w:rPr>
      </w:pPr>
      <w:r>
        <w:rPr>
          <w:rFonts w:cs="Tahoma"/>
          <w:szCs w:val="28"/>
        </w:rPr>
        <w:lastRenderedPageBreak/>
        <w:t xml:space="preserve">The Council’s disability profile gives the following figures about different types of impairment/disability in 2018: </w:t>
      </w:r>
      <w:r>
        <w:rPr>
          <w:rStyle w:val="FootnoteReference"/>
          <w:rFonts w:cs="Tahoma"/>
          <w:szCs w:val="28"/>
        </w:rPr>
        <w:footnoteReference w:id="3"/>
      </w:r>
    </w:p>
    <w:p w14:paraId="0CF76D40" w14:textId="77777777" w:rsidR="00256CC8" w:rsidRPr="003F4E7D" w:rsidRDefault="00256CC8" w:rsidP="00256CC8">
      <w:pPr>
        <w:pStyle w:val="ListParagraph"/>
        <w:numPr>
          <w:ilvl w:val="0"/>
          <w:numId w:val="3"/>
        </w:numPr>
        <w:spacing w:line="240" w:lineRule="auto"/>
        <w:rPr>
          <w:rFonts w:cs="Tahoma"/>
          <w:szCs w:val="28"/>
        </w:rPr>
      </w:pPr>
      <w:r w:rsidRPr="003F4E7D">
        <w:rPr>
          <w:rFonts w:cs="Tahoma"/>
          <w:szCs w:val="28"/>
        </w:rPr>
        <w:t>27,300 Deaf people/people with hearing loss</w:t>
      </w:r>
    </w:p>
    <w:p w14:paraId="0B26F7F6" w14:textId="77777777" w:rsidR="00256CC8" w:rsidRPr="003F4E7D" w:rsidRDefault="00256CC8" w:rsidP="00256CC8">
      <w:pPr>
        <w:pStyle w:val="ListParagraph"/>
        <w:numPr>
          <w:ilvl w:val="0"/>
          <w:numId w:val="3"/>
        </w:numPr>
        <w:spacing w:line="240" w:lineRule="auto"/>
        <w:rPr>
          <w:rFonts w:cs="Tahoma"/>
          <w:szCs w:val="28"/>
        </w:rPr>
      </w:pPr>
      <w:r w:rsidRPr="003F4E7D">
        <w:rPr>
          <w:rFonts w:cs="Tahoma"/>
          <w:szCs w:val="28"/>
        </w:rPr>
        <w:t>2,400 people with visual impairments</w:t>
      </w:r>
    </w:p>
    <w:p w14:paraId="71034552" w14:textId="77777777" w:rsidR="00256CC8" w:rsidRPr="003F4E7D" w:rsidRDefault="00256CC8" w:rsidP="00256CC8">
      <w:pPr>
        <w:pStyle w:val="ListParagraph"/>
        <w:numPr>
          <w:ilvl w:val="0"/>
          <w:numId w:val="3"/>
        </w:numPr>
        <w:spacing w:line="240" w:lineRule="auto"/>
        <w:rPr>
          <w:rFonts w:cs="Tahoma"/>
          <w:szCs w:val="28"/>
        </w:rPr>
      </w:pPr>
      <w:r w:rsidRPr="003F4E7D">
        <w:rPr>
          <w:rFonts w:cs="Tahoma"/>
          <w:szCs w:val="28"/>
        </w:rPr>
        <w:t>13,000 people with physical impairments aged 18 – 65</w:t>
      </w:r>
    </w:p>
    <w:p w14:paraId="25875A65" w14:textId="77777777" w:rsidR="00256CC8" w:rsidRPr="003F4E7D" w:rsidRDefault="00256CC8" w:rsidP="00256CC8">
      <w:pPr>
        <w:pStyle w:val="ListParagraph"/>
        <w:numPr>
          <w:ilvl w:val="0"/>
          <w:numId w:val="3"/>
        </w:numPr>
        <w:spacing w:line="240" w:lineRule="auto"/>
        <w:rPr>
          <w:rFonts w:cs="Tahoma"/>
          <w:szCs w:val="28"/>
        </w:rPr>
      </w:pPr>
      <w:r w:rsidRPr="003F4E7D">
        <w:rPr>
          <w:rFonts w:cs="Tahoma"/>
          <w:szCs w:val="28"/>
        </w:rPr>
        <w:t xml:space="preserve">4,800 people over 65 with mobility impairments </w:t>
      </w:r>
    </w:p>
    <w:p w14:paraId="54A3950E" w14:textId="77777777" w:rsidR="00256CC8" w:rsidRPr="003F4E7D" w:rsidRDefault="00256CC8" w:rsidP="00256CC8">
      <w:pPr>
        <w:pStyle w:val="ListParagraph"/>
        <w:numPr>
          <w:ilvl w:val="0"/>
          <w:numId w:val="3"/>
        </w:numPr>
        <w:spacing w:line="240" w:lineRule="auto"/>
        <w:rPr>
          <w:rFonts w:cs="Tahoma"/>
          <w:szCs w:val="28"/>
        </w:rPr>
      </w:pPr>
      <w:r w:rsidRPr="003F4E7D">
        <w:rPr>
          <w:rFonts w:cs="Tahoma"/>
          <w:szCs w:val="28"/>
        </w:rPr>
        <w:t xml:space="preserve">3,900 people with learning difficulties.  </w:t>
      </w:r>
    </w:p>
    <w:p w14:paraId="2448E84C" w14:textId="77777777" w:rsidR="00BA46F1" w:rsidRPr="000440DD" w:rsidRDefault="00BA46F1" w:rsidP="00BA46F1">
      <w:pPr>
        <w:spacing w:after="0" w:line="240" w:lineRule="auto"/>
        <w:rPr>
          <w:rFonts w:cs="Tahoma"/>
          <w:szCs w:val="28"/>
        </w:rPr>
      </w:pPr>
    </w:p>
    <w:p w14:paraId="725F8D7F" w14:textId="77777777" w:rsidR="00C778D9" w:rsidRPr="00C778D9" w:rsidRDefault="00C778D9" w:rsidP="00C778D9"/>
    <w:p w14:paraId="2A4F7F3C" w14:textId="77777777" w:rsidR="003728A8" w:rsidRDefault="008F61B4" w:rsidP="00B521E4">
      <w:pPr>
        <w:pStyle w:val="Heading1"/>
      </w:pPr>
      <w:r>
        <w:br w:type="page"/>
      </w:r>
      <w:r w:rsidR="005415F2">
        <w:lastRenderedPageBreak/>
        <w:t>Overview</w:t>
      </w:r>
      <w:r w:rsidR="002558CE">
        <w:t xml:space="preserve"> </w:t>
      </w:r>
    </w:p>
    <w:p w14:paraId="6B097FA9" w14:textId="77777777" w:rsidR="00252771" w:rsidRDefault="00252771" w:rsidP="00252771">
      <w:r>
        <w:t>Many of the issues covered in the strategy do not come within Merton CIL’s expertise on housing. However, we believe that the strategy is severely lacking in its consideration of the delivery of housing for Deaf and Disabled people.</w:t>
      </w:r>
    </w:p>
    <w:p w14:paraId="66735B79" w14:textId="77777777" w:rsidR="00252771" w:rsidRDefault="00252771" w:rsidP="00252771">
      <w:r>
        <w:t xml:space="preserve">While it is welcome that the strategy includes a section on housing for people with </w:t>
      </w:r>
      <w:proofErr w:type="gramStart"/>
      <w:r>
        <w:t>particular needs</w:t>
      </w:r>
      <w:proofErr w:type="gramEnd"/>
      <w:r>
        <w:t xml:space="preserve">, this is not underpinned by the overall strategy for building new accessible housing. Merton CIL is surprised that there is no mention of the Building Regulations Part M4(2) for general accessibility and Part M4 (3) for full wheelchair access in new housing. </w:t>
      </w:r>
    </w:p>
    <w:p w14:paraId="72890C24" w14:textId="6D78F5BF" w:rsidR="00252771" w:rsidRDefault="00252771" w:rsidP="00252771">
      <w:r>
        <w:t xml:space="preserve">The section notes (paragraph 3.5) that the target for new homes in the London </w:t>
      </w:r>
      <w:r w:rsidR="00C14AA5">
        <w:t xml:space="preserve">Plan </w:t>
      </w:r>
      <w:r>
        <w:t xml:space="preserve">was not met in 2018 – 2019. It should also be recorded that the most recent figures for the targets for new accessible housing in the last three Annual Monitoring Reports for the London Plan published by the </w:t>
      </w:r>
      <w:proofErr w:type="gramStart"/>
      <w:r>
        <w:t>Mayor</w:t>
      </w:r>
      <w:proofErr w:type="gramEnd"/>
      <w:r>
        <w:t xml:space="preserve"> show these have been missed: </w:t>
      </w:r>
    </w:p>
    <w:tbl>
      <w:tblPr>
        <w:tblStyle w:val="TableGrid"/>
        <w:tblW w:w="0" w:type="auto"/>
        <w:tblLook w:val="04A0" w:firstRow="1" w:lastRow="0" w:firstColumn="1" w:lastColumn="0" w:noHBand="0" w:noVBand="1"/>
      </w:tblPr>
      <w:tblGrid>
        <w:gridCol w:w="1825"/>
        <w:gridCol w:w="1962"/>
        <w:gridCol w:w="1789"/>
        <w:gridCol w:w="1859"/>
        <w:gridCol w:w="1581"/>
      </w:tblGrid>
      <w:tr w:rsidR="00252771" w:rsidRPr="007D3BB8" w14:paraId="076C58F4" w14:textId="77777777" w:rsidTr="00143F44">
        <w:tc>
          <w:tcPr>
            <w:tcW w:w="1825" w:type="dxa"/>
          </w:tcPr>
          <w:p w14:paraId="0EA3C375" w14:textId="77777777" w:rsidR="00252771" w:rsidRPr="007D3BB8" w:rsidRDefault="00252771" w:rsidP="00143F44">
            <w:r>
              <w:t>Year</w:t>
            </w:r>
          </w:p>
        </w:tc>
        <w:tc>
          <w:tcPr>
            <w:tcW w:w="1962" w:type="dxa"/>
          </w:tcPr>
          <w:p w14:paraId="3B8E1514" w14:textId="77777777" w:rsidR="00252771" w:rsidRPr="007D3BB8" w:rsidRDefault="00252771" w:rsidP="00143F44">
            <w:r>
              <w:t xml:space="preserve">Merton </w:t>
            </w:r>
          </w:p>
        </w:tc>
        <w:tc>
          <w:tcPr>
            <w:tcW w:w="1789" w:type="dxa"/>
          </w:tcPr>
          <w:p w14:paraId="54CB753C" w14:textId="77777777" w:rsidR="00252771" w:rsidRPr="007D3BB8" w:rsidRDefault="00252771" w:rsidP="00143F44">
            <w:r>
              <w:t xml:space="preserve">London </w:t>
            </w:r>
          </w:p>
        </w:tc>
        <w:tc>
          <w:tcPr>
            <w:tcW w:w="1859" w:type="dxa"/>
          </w:tcPr>
          <w:p w14:paraId="1C5D57E4" w14:textId="77777777" w:rsidR="00252771" w:rsidRPr="007D3BB8" w:rsidRDefault="00252771" w:rsidP="00143F44">
            <w:r>
              <w:t xml:space="preserve">Merton </w:t>
            </w:r>
          </w:p>
        </w:tc>
        <w:tc>
          <w:tcPr>
            <w:tcW w:w="1581" w:type="dxa"/>
          </w:tcPr>
          <w:p w14:paraId="4401782E" w14:textId="77777777" w:rsidR="00252771" w:rsidRDefault="00252771" w:rsidP="00143F44">
            <w:r>
              <w:t xml:space="preserve">London </w:t>
            </w:r>
          </w:p>
        </w:tc>
      </w:tr>
      <w:tr w:rsidR="00252771" w:rsidRPr="007D3BB8" w14:paraId="2195F0E8" w14:textId="77777777" w:rsidTr="00143F44">
        <w:tc>
          <w:tcPr>
            <w:tcW w:w="1825" w:type="dxa"/>
          </w:tcPr>
          <w:p w14:paraId="629D2CC1" w14:textId="77777777" w:rsidR="00252771" w:rsidRPr="007D3BB8" w:rsidRDefault="00252771" w:rsidP="00143F44">
            <w:r w:rsidRPr="007D3BB8">
              <w:t>2018 – 19</w:t>
            </w:r>
          </w:p>
        </w:tc>
        <w:tc>
          <w:tcPr>
            <w:tcW w:w="1962" w:type="dxa"/>
          </w:tcPr>
          <w:p w14:paraId="42CAD715" w14:textId="77777777" w:rsidR="00252771" w:rsidRPr="007D3BB8" w:rsidRDefault="00252771" w:rsidP="00143F44">
            <w:r w:rsidRPr="007D3BB8">
              <w:t>17.1%</w:t>
            </w:r>
          </w:p>
        </w:tc>
        <w:tc>
          <w:tcPr>
            <w:tcW w:w="1789" w:type="dxa"/>
          </w:tcPr>
          <w:p w14:paraId="7AAA1AD7" w14:textId="77777777" w:rsidR="00252771" w:rsidRPr="007D3BB8" w:rsidRDefault="00252771" w:rsidP="00143F44">
            <w:r>
              <w:t>73.5%</w:t>
            </w:r>
          </w:p>
        </w:tc>
        <w:tc>
          <w:tcPr>
            <w:tcW w:w="1859" w:type="dxa"/>
          </w:tcPr>
          <w:p w14:paraId="6AD49E9E" w14:textId="77777777" w:rsidR="00252771" w:rsidRPr="007D3BB8" w:rsidRDefault="00252771" w:rsidP="00143F44">
            <w:r w:rsidRPr="007D3BB8">
              <w:t>7.4</w:t>
            </w:r>
            <w:r>
              <w:t>%</w:t>
            </w:r>
            <w:r w:rsidRPr="007D3BB8">
              <w:t xml:space="preserve"> </w:t>
            </w:r>
          </w:p>
        </w:tc>
        <w:tc>
          <w:tcPr>
            <w:tcW w:w="1581" w:type="dxa"/>
          </w:tcPr>
          <w:p w14:paraId="79D5FE9E" w14:textId="77777777" w:rsidR="00252771" w:rsidRPr="007D3BB8" w:rsidRDefault="00252771" w:rsidP="00143F44">
            <w:r>
              <w:t>9.3%</w:t>
            </w:r>
          </w:p>
        </w:tc>
      </w:tr>
      <w:tr w:rsidR="00252771" w:rsidRPr="007D3BB8" w14:paraId="09E22FA2" w14:textId="77777777" w:rsidTr="00143F44">
        <w:tc>
          <w:tcPr>
            <w:tcW w:w="1825" w:type="dxa"/>
          </w:tcPr>
          <w:p w14:paraId="1047B15A" w14:textId="77777777" w:rsidR="00252771" w:rsidRPr="007D3BB8" w:rsidRDefault="00252771" w:rsidP="00143F44">
            <w:r w:rsidRPr="007D3BB8">
              <w:t>2017 – 18</w:t>
            </w:r>
          </w:p>
        </w:tc>
        <w:tc>
          <w:tcPr>
            <w:tcW w:w="1962" w:type="dxa"/>
          </w:tcPr>
          <w:p w14:paraId="296B7E99" w14:textId="77777777" w:rsidR="00252771" w:rsidRPr="007D3BB8" w:rsidRDefault="00252771" w:rsidP="00143F44">
            <w:r w:rsidRPr="007D3BB8">
              <w:t>23</w:t>
            </w:r>
            <w:r>
              <w:t>%</w:t>
            </w:r>
          </w:p>
        </w:tc>
        <w:tc>
          <w:tcPr>
            <w:tcW w:w="1789" w:type="dxa"/>
          </w:tcPr>
          <w:p w14:paraId="1BE47034" w14:textId="77777777" w:rsidR="00252771" w:rsidRPr="007D3BB8" w:rsidRDefault="00252771" w:rsidP="00143F44">
            <w:r>
              <w:t>66%</w:t>
            </w:r>
          </w:p>
        </w:tc>
        <w:tc>
          <w:tcPr>
            <w:tcW w:w="1859" w:type="dxa"/>
          </w:tcPr>
          <w:p w14:paraId="25B12C58" w14:textId="77777777" w:rsidR="00252771" w:rsidRPr="007D3BB8" w:rsidRDefault="00252771" w:rsidP="00143F44">
            <w:r w:rsidRPr="007D3BB8">
              <w:t>3</w:t>
            </w:r>
            <w:r>
              <w:t>%</w:t>
            </w:r>
          </w:p>
        </w:tc>
        <w:tc>
          <w:tcPr>
            <w:tcW w:w="1581" w:type="dxa"/>
          </w:tcPr>
          <w:p w14:paraId="18FF0151" w14:textId="77777777" w:rsidR="00252771" w:rsidRPr="007D3BB8" w:rsidRDefault="00252771" w:rsidP="00143F44">
            <w:r>
              <w:t>7%</w:t>
            </w:r>
          </w:p>
        </w:tc>
      </w:tr>
      <w:tr w:rsidR="00252771" w:rsidRPr="007D3BB8" w14:paraId="107A0101" w14:textId="77777777" w:rsidTr="00143F44">
        <w:tc>
          <w:tcPr>
            <w:tcW w:w="1825" w:type="dxa"/>
          </w:tcPr>
          <w:p w14:paraId="454A1DF6" w14:textId="77777777" w:rsidR="00252771" w:rsidRPr="007D3BB8" w:rsidRDefault="00252771" w:rsidP="00143F44">
            <w:r w:rsidRPr="007D3BB8">
              <w:t xml:space="preserve">2016 </w:t>
            </w:r>
            <w:r>
              <w:t>–</w:t>
            </w:r>
            <w:r w:rsidRPr="007D3BB8">
              <w:t xml:space="preserve"> 17</w:t>
            </w:r>
          </w:p>
        </w:tc>
        <w:tc>
          <w:tcPr>
            <w:tcW w:w="1962" w:type="dxa"/>
          </w:tcPr>
          <w:p w14:paraId="476C447A" w14:textId="77777777" w:rsidR="00252771" w:rsidRPr="007D3BB8" w:rsidRDefault="00252771" w:rsidP="00143F44">
            <w:r w:rsidRPr="007D3BB8">
              <w:t>92</w:t>
            </w:r>
            <w:r>
              <w:t>%</w:t>
            </w:r>
          </w:p>
        </w:tc>
        <w:tc>
          <w:tcPr>
            <w:tcW w:w="1789" w:type="dxa"/>
          </w:tcPr>
          <w:p w14:paraId="1F8BDB8E" w14:textId="77777777" w:rsidR="00252771" w:rsidRPr="007D3BB8" w:rsidRDefault="00252771" w:rsidP="00143F44">
            <w:r>
              <w:t>73%</w:t>
            </w:r>
          </w:p>
        </w:tc>
        <w:tc>
          <w:tcPr>
            <w:tcW w:w="1859" w:type="dxa"/>
          </w:tcPr>
          <w:p w14:paraId="5372AB41" w14:textId="77777777" w:rsidR="00252771" w:rsidRPr="007D3BB8" w:rsidRDefault="00252771" w:rsidP="00143F44">
            <w:r w:rsidRPr="007D3BB8">
              <w:t>3</w:t>
            </w:r>
            <w:r>
              <w:t>%</w:t>
            </w:r>
          </w:p>
        </w:tc>
        <w:tc>
          <w:tcPr>
            <w:tcW w:w="1581" w:type="dxa"/>
          </w:tcPr>
          <w:p w14:paraId="7120C031" w14:textId="77777777" w:rsidR="00252771" w:rsidRPr="007D3BB8" w:rsidRDefault="00252771" w:rsidP="00143F44">
            <w:r>
              <w:t>9%</w:t>
            </w:r>
          </w:p>
        </w:tc>
      </w:tr>
    </w:tbl>
    <w:p w14:paraId="338537BD" w14:textId="77777777" w:rsidR="00252771" w:rsidRDefault="00252771" w:rsidP="00252771">
      <w:r>
        <w:rPr>
          <w:rStyle w:val="FootnoteReference"/>
        </w:rPr>
        <w:footnoteReference w:id="4"/>
      </w:r>
      <w:r>
        <w:t xml:space="preserve"> </w:t>
      </w:r>
      <w:r>
        <w:rPr>
          <w:rStyle w:val="FootnoteReference"/>
        </w:rPr>
        <w:footnoteReference w:id="5"/>
      </w:r>
      <w:r>
        <w:t xml:space="preserve"> </w:t>
      </w:r>
      <w:r>
        <w:rPr>
          <w:rStyle w:val="FootnoteReference"/>
        </w:rPr>
        <w:footnoteReference w:id="6"/>
      </w:r>
    </w:p>
    <w:p w14:paraId="18B8263A" w14:textId="07844D65" w:rsidR="00252771" w:rsidRDefault="00252771" w:rsidP="00252771">
      <w:r>
        <w:t xml:space="preserve">Issues with the targets are clearly not specific to Merton, but, </w:t>
      </w:r>
      <w:r w:rsidR="00081DDE">
        <w:t>except for</w:t>
      </w:r>
      <w:r>
        <w:t xml:space="preserve"> the general accessibility standard in 2016 – 2017, they both missed </w:t>
      </w:r>
      <w:r w:rsidR="00283C29">
        <w:t xml:space="preserve">the target </w:t>
      </w:r>
      <w:r>
        <w:t xml:space="preserve">and missed </w:t>
      </w:r>
      <w:r w:rsidR="00283C29">
        <w:t xml:space="preserve">them </w:t>
      </w:r>
      <w:r>
        <w:t xml:space="preserve">at rates above the level at which they are missed in London as a whole. </w:t>
      </w:r>
    </w:p>
    <w:p w14:paraId="6B9F4D5E" w14:textId="7CE8350C" w:rsidR="00252771" w:rsidRDefault="00252771" w:rsidP="00252771">
      <w:r>
        <w:t xml:space="preserve">Merton CIL is concerned that the strategy makes no reference to these issues and believes it is essential for them to be addressed by the strategy. </w:t>
      </w:r>
      <w:r w:rsidR="00AB19CE">
        <w:t xml:space="preserve">We would like to see </w:t>
      </w:r>
      <w:r w:rsidR="001E6F8A">
        <w:t>consideration given to how these and other targets are delivered in the future</w:t>
      </w:r>
      <w:r w:rsidR="00CF392F">
        <w:t xml:space="preserve"> and what will be done to remedy the situation years when targets.</w:t>
      </w:r>
      <w:r w:rsidR="001E6F8A">
        <w:t xml:space="preserve"> </w:t>
      </w:r>
      <w:r>
        <w:t xml:space="preserve">  </w:t>
      </w:r>
    </w:p>
    <w:p w14:paraId="3AD43801" w14:textId="6B0432D7" w:rsidR="00DD178F" w:rsidRDefault="005E4C6B" w:rsidP="00252771">
      <w:r>
        <w:t>In 20</w:t>
      </w:r>
      <w:r w:rsidR="00F47F72">
        <w:t>18 t</w:t>
      </w:r>
      <w:r w:rsidR="00252771">
        <w:t xml:space="preserve">he </w:t>
      </w:r>
      <w:r>
        <w:t xml:space="preserve">Equality and Human Rights Commission </w:t>
      </w:r>
      <w:r w:rsidR="00F47F72">
        <w:t xml:space="preserve">(EHRC) </w:t>
      </w:r>
      <w:r w:rsidR="00252771">
        <w:t xml:space="preserve">published a report </w:t>
      </w:r>
      <w:r w:rsidR="00F47F72">
        <w:t>called</w:t>
      </w:r>
      <w:r w:rsidR="00E95FA7">
        <w:t xml:space="preserve"> </w:t>
      </w:r>
      <w:r w:rsidR="00E95FA7" w:rsidRPr="00E95FA7">
        <w:t>Housing and disabled people: Britain's hidden crisis</w:t>
      </w:r>
      <w:r w:rsidR="008109BA">
        <w:t xml:space="preserve"> which </w:t>
      </w:r>
      <w:r w:rsidR="008109BA">
        <w:lastRenderedPageBreak/>
        <w:t xml:space="preserve">showed the scale of the housing </w:t>
      </w:r>
      <w:r w:rsidR="00FC46D6">
        <w:t xml:space="preserve">problems faced by Deaf and Disabled people. </w:t>
      </w:r>
      <w:r w:rsidR="00FC46D6">
        <w:rPr>
          <w:rStyle w:val="FootnoteReference"/>
        </w:rPr>
        <w:footnoteReference w:id="7"/>
      </w:r>
      <w:r w:rsidR="009D700B">
        <w:t xml:space="preserve"> The report made a range of recommendations </w:t>
      </w:r>
      <w:r w:rsidR="00877403">
        <w:t>for central and local government</w:t>
      </w:r>
      <w:r w:rsidR="006C09CA">
        <w:t xml:space="preserve"> and</w:t>
      </w:r>
      <w:r w:rsidR="00DD178F">
        <w:t xml:space="preserve"> called for councils to</w:t>
      </w:r>
      <w:r w:rsidR="002557CF">
        <w:t>:</w:t>
      </w:r>
      <w:r w:rsidR="00784563">
        <w:t xml:space="preserve"> </w:t>
      </w:r>
    </w:p>
    <w:p w14:paraId="03316352" w14:textId="0D0AD94D" w:rsidR="00DD178F" w:rsidRDefault="00893200" w:rsidP="003D00C9">
      <w:pPr>
        <w:pStyle w:val="ListParagraph"/>
        <w:numPr>
          <w:ilvl w:val="0"/>
          <w:numId w:val="4"/>
        </w:numPr>
      </w:pPr>
      <w:r>
        <w:t xml:space="preserve">Increase </w:t>
      </w:r>
      <w:r w:rsidR="007E0D69">
        <w:t>and i</w:t>
      </w:r>
      <w:r w:rsidR="00AE26FA">
        <w:t xml:space="preserve">mprove data collection about accessible housing </w:t>
      </w:r>
    </w:p>
    <w:p w14:paraId="743F1B4A" w14:textId="52F0780C" w:rsidR="003E00A3" w:rsidRDefault="003E00A3" w:rsidP="003D00C9">
      <w:pPr>
        <w:pStyle w:val="ListParagraph"/>
        <w:numPr>
          <w:ilvl w:val="0"/>
          <w:numId w:val="4"/>
        </w:numPr>
      </w:pPr>
      <w:r>
        <w:t xml:space="preserve">Introduce accessible housing registers </w:t>
      </w:r>
    </w:p>
    <w:p w14:paraId="4B29AF9F" w14:textId="066AC2A8" w:rsidR="006B3162" w:rsidRDefault="004B3CE7" w:rsidP="003D00C9">
      <w:pPr>
        <w:pStyle w:val="ListParagraph"/>
        <w:numPr>
          <w:ilvl w:val="0"/>
          <w:numId w:val="4"/>
        </w:numPr>
      </w:pPr>
      <w:r>
        <w:t>Remove bureaucratic barriers to making adaptations</w:t>
      </w:r>
    </w:p>
    <w:p w14:paraId="5968083B" w14:textId="1B311824" w:rsidR="00252771" w:rsidRDefault="002557CF" w:rsidP="00252771">
      <w:r>
        <w:t xml:space="preserve">We </w:t>
      </w:r>
      <w:r w:rsidR="003D00C9">
        <w:t xml:space="preserve">believe these points should fall within the housing delivery </w:t>
      </w:r>
      <w:r w:rsidR="006C3878">
        <w:t xml:space="preserve">strategy, and that the Council should adopt the full range of </w:t>
      </w:r>
      <w:r w:rsidR="00AE7AB9">
        <w:t xml:space="preserve">recommendations made by the EHRC </w:t>
      </w:r>
      <w:r w:rsidR="00EA189B">
        <w:t xml:space="preserve">and use its </w:t>
      </w:r>
      <w:r w:rsidR="006C09CA">
        <w:t>accompany</w:t>
      </w:r>
      <w:r w:rsidR="005E45F3">
        <w:t xml:space="preserve">ing tool kit for local authorities </w:t>
      </w:r>
      <w:r w:rsidR="00CB219E">
        <w:t xml:space="preserve">to </w:t>
      </w:r>
      <w:r w:rsidR="00B25D6F">
        <w:t xml:space="preserve">implement its recommendations. </w:t>
      </w:r>
      <w:r w:rsidR="00B25D6F">
        <w:rPr>
          <w:rStyle w:val="FootnoteReference"/>
        </w:rPr>
        <w:footnoteReference w:id="8"/>
      </w:r>
      <w:r w:rsidR="00A03BD6">
        <w:t xml:space="preserve"> </w:t>
      </w:r>
    </w:p>
    <w:p w14:paraId="56C442E9" w14:textId="08BB464B" w:rsidR="0050518B" w:rsidRDefault="0050518B">
      <w:r>
        <w:br w:type="page"/>
      </w:r>
    </w:p>
    <w:p w14:paraId="094934ED" w14:textId="77777777" w:rsidR="008F61B4" w:rsidRDefault="008F61B4"/>
    <w:p w14:paraId="0F74611E" w14:textId="001C2D5F" w:rsidR="00C778D9" w:rsidRDefault="00ED0108" w:rsidP="00CE731A">
      <w:pPr>
        <w:pStyle w:val="Heading1"/>
      </w:pPr>
      <w:r>
        <w:t>Responses to section</w:t>
      </w:r>
      <w:r w:rsidR="00252771">
        <w:t>s</w:t>
      </w:r>
      <w:r>
        <w:t xml:space="preserve"> of the </w:t>
      </w:r>
      <w:r w:rsidR="0050518B">
        <w:t xml:space="preserve">strategy </w:t>
      </w:r>
    </w:p>
    <w:p w14:paraId="44AE8428" w14:textId="09FD1BAF" w:rsidR="00ED0108" w:rsidRDefault="00ED0108" w:rsidP="00AE2CA1">
      <w:pPr>
        <w:pStyle w:val="Heading2"/>
      </w:pPr>
      <w:r>
        <w:t>Section 2: The vision</w:t>
      </w:r>
    </w:p>
    <w:p w14:paraId="53B0143C" w14:textId="6A137F37" w:rsidR="003C685D" w:rsidRDefault="003C685D" w:rsidP="00C778D9">
      <w:r>
        <w:t xml:space="preserve">Given the acute lack of accessible </w:t>
      </w:r>
      <w:r w:rsidR="009E196B">
        <w:t>housing, as identified by the Equality and Human Rights Commission</w:t>
      </w:r>
      <w:r w:rsidR="001C5F21">
        <w:t>, Merton CIL believes that the vision of the housing deliver</w:t>
      </w:r>
      <w:r w:rsidR="001F17E0">
        <w:t xml:space="preserve">y strategy should explicitly </w:t>
      </w:r>
      <w:r w:rsidR="0036231A">
        <w:t>state</w:t>
      </w:r>
      <w:r w:rsidR="006203CC">
        <w:t xml:space="preserve"> </w:t>
      </w:r>
      <w:r w:rsidR="001C7156">
        <w:t xml:space="preserve">that the ‘match of identified need’ </w:t>
      </w:r>
      <w:r w:rsidR="00436F27">
        <w:t xml:space="preserve">includes all housing will meet accessibility </w:t>
      </w:r>
      <w:r w:rsidR="00B036CF">
        <w:t>standards.</w:t>
      </w:r>
    </w:p>
    <w:p w14:paraId="0904440A" w14:textId="013C058B" w:rsidR="00193582" w:rsidRDefault="00193582" w:rsidP="00C778D9">
      <w:r>
        <w:t xml:space="preserve">Affordability is also a key </w:t>
      </w:r>
      <w:r w:rsidR="00D150EF">
        <w:t xml:space="preserve">issue to Deaf and Disabled people, as it is to all sections of the community, and we believe this should also be included in the vision. </w:t>
      </w:r>
      <w:r w:rsidR="00545E04">
        <w:t xml:space="preserve">Delivery </w:t>
      </w:r>
      <w:r w:rsidR="00D55944">
        <w:t>of</w:t>
      </w:r>
      <w:r w:rsidR="00545E04">
        <w:t xml:space="preserve"> quality housing will not resolve the housing crisis if it is un</w:t>
      </w:r>
      <w:r w:rsidR="002761E4">
        <w:t>affordable.</w:t>
      </w:r>
    </w:p>
    <w:p w14:paraId="79517B15" w14:textId="2F82DCA3" w:rsidR="00CC778D" w:rsidRDefault="00DE3E26" w:rsidP="00AE2CA1">
      <w:pPr>
        <w:pStyle w:val="Heading2"/>
      </w:pPr>
      <w:r>
        <w:t xml:space="preserve">Section 3: </w:t>
      </w:r>
      <w:r w:rsidR="00F811A0">
        <w:t>Background and context</w:t>
      </w:r>
    </w:p>
    <w:p w14:paraId="4A571BE7" w14:textId="2AF13E53" w:rsidR="00F811A0" w:rsidRDefault="001B7FF6" w:rsidP="00C778D9">
      <w:r>
        <w:t>This section gives no consideration of the availability of accessible housing in the borough. This is a</w:t>
      </w:r>
      <w:r w:rsidR="00AC134F">
        <w:t xml:space="preserve"> serious omission </w:t>
      </w:r>
      <w:r w:rsidR="000E690B">
        <w:t>that</w:t>
      </w:r>
      <w:r w:rsidR="00AC134F">
        <w:t xml:space="preserve"> needs to be addressed.</w:t>
      </w:r>
    </w:p>
    <w:p w14:paraId="3C478C39" w14:textId="599785E7" w:rsidR="00163C6B" w:rsidRDefault="00B20E81" w:rsidP="00FF012F">
      <w:r>
        <w:t xml:space="preserve">As far as we are </w:t>
      </w:r>
      <w:r w:rsidR="004668AF">
        <w:t>aware, t</w:t>
      </w:r>
      <w:r w:rsidR="00FF012F">
        <w:t xml:space="preserve">he Council </w:t>
      </w:r>
      <w:r w:rsidR="00163C6B">
        <w:t>has not acted on the Equality and Human Rights Commission</w:t>
      </w:r>
      <w:r w:rsidR="00466776">
        <w:t>’s recommendation</w:t>
      </w:r>
      <w:r w:rsidR="00A17A6E">
        <w:t xml:space="preserve"> in 2018 </w:t>
      </w:r>
      <w:r w:rsidR="00A56FFA">
        <w:t xml:space="preserve">that councils should monitor the </w:t>
      </w:r>
      <w:r w:rsidR="00CB5B1F">
        <w:t xml:space="preserve">availability of accessible </w:t>
      </w:r>
      <w:r w:rsidR="00FE448A">
        <w:t xml:space="preserve">social </w:t>
      </w:r>
      <w:r w:rsidR="00CB5B1F">
        <w:t xml:space="preserve">housing in the </w:t>
      </w:r>
      <w:r w:rsidR="0006465E">
        <w:t xml:space="preserve">borough. We believe this would have given essential further detail to the background and context of this </w:t>
      </w:r>
      <w:r w:rsidR="002A556F">
        <w:t>strategy</w:t>
      </w:r>
      <w:r w:rsidR="00455402">
        <w:t>.</w:t>
      </w:r>
    </w:p>
    <w:p w14:paraId="34038429" w14:textId="7ADC1D6C" w:rsidR="00E044AB" w:rsidRDefault="00E044AB" w:rsidP="00455402">
      <w:pPr>
        <w:pStyle w:val="Heading2"/>
      </w:pPr>
      <w:r>
        <w:t>Section 4</w:t>
      </w:r>
      <w:r w:rsidR="0081753A">
        <w:t>: What does Merton need</w:t>
      </w:r>
      <w:r w:rsidR="00EE6842">
        <w:t>?</w:t>
      </w:r>
    </w:p>
    <w:p w14:paraId="2A653363" w14:textId="03CE95E8" w:rsidR="0081753A" w:rsidRDefault="005B1D29" w:rsidP="00C778D9">
      <w:r>
        <w:t>The analysis of</w:t>
      </w:r>
      <w:r w:rsidR="00A17A6E">
        <w:t xml:space="preserve"> the housing register highlights </w:t>
      </w:r>
      <w:r w:rsidR="0085563D">
        <w:t xml:space="preserve">again </w:t>
      </w:r>
      <w:r w:rsidR="00FF012F">
        <w:t xml:space="preserve">that the Council has not acted on the Equality and Human Rights Commission’s recommendation that councils should monitor the </w:t>
      </w:r>
      <w:r w:rsidR="006B0245">
        <w:t xml:space="preserve">situation of Disabled people on their housing registers. The Commission </w:t>
      </w:r>
      <w:r w:rsidR="00B82BE1">
        <w:t xml:space="preserve">said </w:t>
      </w:r>
      <w:r w:rsidR="00134832">
        <w:t xml:space="preserve">local authorities should use best </w:t>
      </w:r>
      <w:r w:rsidR="00077515">
        <w:t xml:space="preserve">practice in the use of accessible housing registers along with </w:t>
      </w:r>
      <w:r w:rsidR="0070036F">
        <w:t>increasing their knowledge of accessible housing stock.</w:t>
      </w:r>
    </w:p>
    <w:p w14:paraId="0700A226" w14:textId="577B36AB" w:rsidR="00324C8F" w:rsidRPr="00C778D9" w:rsidRDefault="001604F4" w:rsidP="00C778D9">
      <w:r>
        <w:t xml:space="preserve">We are also concerned by the assertion in the strategy that </w:t>
      </w:r>
      <w:r w:rsidR="00312DF8">
        <w:t xml:space="preserve">housing </w:t>
      </w:r>
      <w:r w:rsidR="000F1125">
        <w:t xml:space="preserve">demand is relatively stable. It is </w:t>
      </w:r>
      <w:r w:rsidR="006328A9">
        <w:t xml:space="preserve">accurate to say this looking at the three years 2017 </w:t>
      </w:r>
      <w:r w:rsidR="002002D5">
        <w:t>–</w:t>
      </w:r>
      <w:r w:rsidR="006328A9">
        <w:t xml:space="preserve"> 2020</w:t>
      </w:r>
      <w:r w:rsidR="002002D5">
        <w:t xml:space="preserve"> as is done in the </w:t>
      </w:r>
      <w:r w:rsidR="00B83DA0">
        <w:t>strategy but</w:t>
      </w:r>
      <w:r w:rsidR="002002D5">
        <w:t xml:space="preserve"> looking at a longer </w:t>
      </w:r>
      <w:r w:rsidR="004B691D">
        <w:t>time frame using statistics from centra</w:t>
      </w:r>
      <w:r w:rsidR="00ED780E">
        <w:t xml:space="preserve">l government, </w:t>
      </w:r>
      <w:r w:rsidR="006D77D1">
        <w:t xml:space="preserve">it increased </w:t>
      </w:r>
      <w:r w:rsidR="009965F6">
        <w:t xml:space="preserve">year on year </w:t>
      </w:r>
      <w:r w:rsidR="00A82641">
        <w:t xml:space="preserve">from </w:t>
      </w:r>
      <w:r w:rsidR="00D4795A">
        <w:t>7,</w:t>
      </w:r>
      <w:r w:rsidR="004E5763">
        <w:t>625 in 2014</w:t>
      </w:r>
      <w:r w:rsidR="00521E62">
        <w:t xml:space="preserve"> to </w:t>
      </w:r>
      <w:r w:rsidR="002D72B7">
        <w:t xml:space="preserve">the </w:t>
      </w:r>
      <w:r w:rsidR="00521E62">
        <w:t xml:space="preserve">peak of over </w:t>
      </w:r>
      <w:r w:rsidR="002D72B7">
        <w:t>10,</w:t>
      </w:r>
      <w:r w:rsidR="00494BC2">
        <w:t>215</w:t>
      </w:r>
      <w:r w:rsidR="002D72B7">
        <w:t xml:space="preserve"> in 2018</w:t>
      </w:r>
      <w:r w:rsidR="003C004B">
        <w:t>/19</w:t>
      </w:r>
      <w:r w:rsidR="00AA23F7">
        <w:t xml:space="preserve">. </w:t>
      </w:r>
      <w:r w:rsidR="004D133E">
        <w:t xml:space="preserve">This represented a </w:t>
      </w:r>
      <w:r w:rsidR="00450355">
        <w:t>34% increase</w:t>
      </w:r>
      <w:r w:rsidR="001713B4">
        <w:t xml:space="preserve"> compared with </w:t>
      </w:r>
      <w:r w:rsidR="00A36F6F">
        <w:t xml:space="preserve">a </w:t>
      </w:r>
      <w:r w:rsidR="00683DCA">
        <w:t>4.</w:t>
      </w:r>
      <w:r w:rsidR="006E7160">
        <w:t>7% decrease London-</w:t>
      </w:r>
      <w:r w:rsidR="006E7160">
        <w:lastRenderedPageBreak/>
        <w:t xml:space="preserve">wide in the same period </w:t>
      </w:r>
      <w:r w:rsidR="007A6C38">
        <w:t>(although we note that differing waiting list policies between different boroughs</w:t>
      </w:r>
      <w:r w:rsidR="001C0DFB">
        <w:t>).</w:t>
      </w:r>
    </w:p>
    <w:p w14:paraId="165795F4" w14:textId="468F93C5" w:rsidR="00A6137E" w:rsidRDefault="0014687D" w:rsidP="00C778D9">
      <w:r>
        <w:t xml:space="preserve">We are surprised that point </w:t>
      </w:r>
      <w:r w:rsidR="00C43682">
        <w:t xml:space="preserve">4.24 makes such a vague </w:t>
      </w:r>
      <w:r w:rsidR="00E60EAD">
        <w:t xml:space="preserve">point that: </w:t>
      </w:r>
    </w:p>
    <w:p w14:paraId="67186284" w14:textId="4C7ECB8F" w:rsidR="008D277D" w:rsidRDefault="00E60EAD" w:rsidP="008D277D">
      <w:pPr>
        <w:ind w:left="567" w:right="567"/>
      </w:pPr>
      <w:r>
        <w:t>‘</w:t>
      </w:r>
      <w:proofErr w:type="gramStart"/>
      <w:r w:rsidR="00FD6F47" w:rsidRPr="00FD6F47">
        <w:t>consideration</w:t>
      </w:r>
      <w:proofErr w:type="gramEnd"/>
      <w:r w:rsidR="00FD6F47" w:rsidRPr="00FD6F47">
        <w:t xml:space="preserve"> needs to be given to the supply of decent and accessible accommodation, across all tenures, that can be adapted to help people live at home for as long as possible and where additional care and support can be increased and decreased as necessary.</w:t>
      </w:r>
      <w:r w:rsidR="008D277D">
        <w:t>’</w:t>
      </w:r>
    </w:p>
    <w:p w14:paraId="37541A32" w14:textId="197ABB32" w:rsidR="008D277D" w:rsidRDefault="008D277D" w:rsidP="008D277D">
      <w:pPr>
        <w:ind w:right="567"/>
      </w:pPr>
      <w:r>
        <w:t xml:space="preserve">The point about housing that can be adapted </w:t>
      </w:r>
      <w:r w:rsidR="004C2B02">
        <w:t xml:space="preserve">is </w:t>
      </w:r>
      <w:r w:rsidR="005A2FBF">
        <w:t>covered by Part M4(2) of the building regulations and the Council’s target that 90% of new housing should meet this standard, with the remaining 10% meeting the higher standard for wheelchair accessibility</w:t>
      </w:r>
      <w:r w:rsidR="004F11F8">
        <w:t>, as discussed above</w:t>
      </w:r>
      <w:r w:rsidR="005A2FBF">
        <w:t>. It is concerning that th</w:t>
      </w:r>
      <w:r w:rsidR="008B5BB6">
        <w:t xml:space="preserve">e Building Regulation’s provisions for </w:t>
      </w:r>
      <w:r w:rsidR="00DA7C6F">
        <w:t xml:space="preserve">accessible housing are </w:t>
      </w:r>
      <w:r w:rsidR="005A2FBF">
        <w:t>not referenced here, or elsewhere in the strategy.</w:t>
      </w:r>
    </w:p>
    <w:p w14:paraId="43BA9A09" w14:textId="318DF0A0" w:rsidR="005A2FBF" w:rsidRDefault="005A2FBF" w:rsidP="00DA7C6F">
      <w:pPr>
        <w:pStyle w:val="Heading2"/>
      </w:pPr>
      <w:r>
        <w:t xml:space="preserve">Section 6: Delivering the Right New Homes </w:t>
      </w:r>
    </w:p>
    <w:p w14:paraId="2D54F3EE" w14:textId="4E4A2383" w:rsidR="005A2FBF" w:rsidRDefault="00203010" w:rsidP="008D277D">
      <w:pPr>
        <w:ind w:right="567"/>
      </w:pPr>
      <w:r>
        <w:t xml:space="preserve">Merton CIL </w:t>
      </w:r>
      <w:r w:rsidR="005A2FBF">
        <w:t>support</w:t>
      </w:r>
      <w:r>
        <w:t>s</w:t>
      </w:r>
      <w:r w:rsidR="005A2FBF">
        <w:t xml:space="preserve"> the emphasis on affordability as physically accessible homes will remain inaccessible if they are not affordable. We would just add that it is well documented that Deaf and Disabled people </w:t>
      </w:r>
      <w:r w:rsidR="00623B85">
        <w:t>are statistically amongst the lowest paid and least well off in society, so are likely to experience difficulties around the affordability of housing.</w:t>
      </w:r>
    </w:p>
    <w:p w14:paraId="119B92D6" w14:textId="531EF656" w:rsidR="00623B85" w:rsidRDefault="00623B85" w:rsidP="00757A40">
      <w:pPr>
        <w:pStyle w:val="Heading2"/>
      </w:pPr>
      <w:r>
        <w:t>Section 8: Direct intervention</w:t>
      </w:r>
    </w:p>
    <w:p w14:paraId="7F8D2075" w14:textId="318C77B4" w:rsidR="00623B85" w:rsidRDefault="00623B85" w:rsidP="008D277D">
      <w:pPr>
        <w:ind w:right="567"/>
      </w:pPr>
      <w:r>
        <w:t xml:space="preserve">We </w:t>
      </w:r>
      <w:r w:rsidR="00EF7986">
        <w:t xml:space="preserve">are </w:t>
      </w:r>
      <w:r>
        <w:t xml:space="preserve">interested </w:t>
      </w:r>
      <w:r w:rsidR="004342E2">
        <w:t>in</w:t>
      </w:r>
      <w:r>
        <w:t xml:space="preserve"> the ideas of self-build and </w:t>
      </w:r>
      <w:proofErr w:type="gramStart"/>
      <w:r>
        <w:t>community built</w:t>
      </w:r>
      <w:proofErr w:type="gramEnd"/>
      <w:r>
        <w:t xml:space="preserve"> housing </w:t>
      </w:r>
      <w:r w:rsidR="00757A40">
        <w:t xml:space="preserve">(point 8.11) </w:t>
      </w:r>
      <w:r>
        <w:t>and would be keen to explore how Deaf and Disabled people might be involved in developing small scale housing</w:t>
      </w:r>
      <w:r w:rsidR="00F50AEC">
        <w:t xml:space="preserve"> as a way to ensure new housing is truly accessible. It is important to note that </w:t>
      </w:r>
      <w:r w:rsidR="00C60F4A">
        <w:t>many believe the building regulations need to be improved and a government review is currently in progress.</w:t>
      </w:r>
    </w:p>
    <w:p w14:paraId="7020B144" w14:textId="3FABDD46" w:rsidR="00C60F4A" w:rsidRDefault="00126A7E" w:rsidP="00126A7E">
      <w:pPr>
        <w:pStyle w:val="Heading2"/>
      </w:pPr>
      <w:r>
        <w:t xml:space="preserve">Section </w:t>
      </w:r>
      <w:r w:rsidR="00C60F4A">
        <w:t xml:space="preserve">9. </w:t>
      </w:r>
      <w:r w:rsidR="00C60F4A" w:rsidRPr="00C60F4A">
        <w:t>Density and Intensification</w:t>
      </w:r>
    </w:p>
    <w:p w14:paraId="45C1D8C9" w14:textId="44CA6D34" w:rsidR="00C60F4A" w:rsidRDefault="00C60F4A" w:rsidP="008D277D">
      <w:pPr>
        <w:ind w:right="567"/>
      </w:pPr>
      <w:r>
        <w:t>Merton CIL has a general concern about high</w:t>
      </w:r>
      <w:r w:rsidR="004342E2">
        <w:t>-</w:t>
      </w:r>
      <w:r>
        <w:t xml:space="preserve">density housing, which </w:t>
      </w:r>
      <w:r w:rsidR="008A5808">
        <w:t xml:space="preserve">we </w:t>
      </w:r>
      <w:r>
        <w:t>know the Council is exploring through the local plan</w:t>
      </w:r>
      <w:r w:rsidR="008A5808">
        <w:t xml:space="preserve">. This generally means high rise building and this has </w:t>
      </w:r>
      <w:proofErr w:type="gramStart"/>
      <w:r w:rsidR="008A5808">
        <w:t>particular implications</w:t>
      </w:r>
      <w:proofErr w:type="gramEnd"/>
      <w:r w:rsidR="008A5808">
        <w:t xml:space="preserve"> for many Deaf and Disabled people. Any plans for high </w:t>
      </w:r>
      <w:r w:rsidR="008A5808">
        <w:lastRenderedPageBreak/>
        <w:t xml:space="preserve">density/high rise housing </w:t>
      </w:r>
      <w:proofErr w:type="gramStart"/>
      <w:r w:rsidR="008A5808">
        <w:t>needs</w:t>
      </w:r>
      <w:proofErr w:type="gramEnd"/>
      <w:r w:rsidR="008A5808">
        <w:t xml:space="preserve"> to be accompanied by plans to ensure accessibility and safety.</w:t>
      </w:r>
    </w:p>
    <w:p w14:paraId="05FFF654" w14:textId="4F789575" w:rsidR="00C60F4A" w:rsidRDefault="00C60F4A" w:rsidP="008D277D">
      <w:pPr>
        <w:ind w:right="567"/>
      </w:pPr>
      <w:r>
        <w:t>On point 9.5 regarding climate change issues, we would make the point that meeting standards on accessibility reduces the need for remedial building work and the impact this has on the environment.</w:t>
      </w:r>
    </w:p>
    <w:p w14:paraId="600A9C4B" w14:textId="0DB2FE75" w:rsidR="00580259" w:rsidRDefault="00967243" w:rsidP="004139CE">
      <w:pPr>
        <w:pStyle w:val="Heading2"/>
      </w:pPr>
      <w:r>
        <w:t xml:space="preserve">Section </w:t>
      </w:r>
      <w:r w:rsidR="00580259">
        <w:t xml:space="preserve">10. Housing for </w:t>
      </w:r>
      <w:proofErr w:type="gramStart"/>
      <w:r w:rsidR="00580259">
        <w:t>particular needs</w:t>
      </w:r>
      <w:proofErr w:type="gramEnd"/>
      <w:r w:rsidR="00580259">
        <w:t xml:space="preserve"> </w:t>
      </w:r>
    </w:p>
    <w:p w14:paraId="07356A12" w14:textId="16909F7C" w:rsidR="00580259" w:rsidRDefault="00580259" w:rsidP="008D277D">
      <w:pPr>
        <w:ind w:right="567"/>
      </w:pPr>
      <w:r>
        <w:t xml:space="preserve">Again, the lack of any reference to the Part M regulations and the Council’s existing targets </w:t>
      </w:r>
      <w:r w:rsidR="006C5D72">
        <w:t>is</w:t>
      </w:r>
      <w:r>
        <w:t xml:space="preserve"> a concern.</w:t>
      </w:r>
    </w:p>
    <w:p w14:paraId="5BA3FADF" w14:textId="4A3E50E0" w:rsidR="00580259" w:rsidRDefault="00B83B24" w:rsidP="00A00A24">
      <w:pPr>
        <w:ind w:right="567"/>
      </w:pPr>
      <w:r>
        <w:t xml:space="preserve">Points </w:t>
      </w:r>
      <w:r w:rsidR="00580259">
        <w:t xml:space="preserve">10.4 and 10.5 </w:t>
      </w:r>
      <w:r w:rsidR="00F9159C">
        <w:t xml:space="preserve">refer to </w:t>
      </w:r>
      <w:r w:rsidR="00580259">
        <w:t>interventions around aids and adaptions and Disabled Facilities Grants and the need to link housing policy and service to Adult Social Ca</w:t>
      </w:r>
      <w:r w:rsidR="00ED1EC9">
        <w:t>r</w:t>
      </w:r>
      <w:r w:rsidR="001D12BD">
        <w:t>e</w:t>
      </w:r>
      <w:r w:rsidR="00580259">
        <w:t xml:space="preserve"> and other services. </w:t>
      </w:r>
      <w:r w:rsidR="00F9159C">
        <w:t xml:space="preserve">We would recommend the </w:t>
      </w:r>
      <w:r w:rsidR="00F86440">
        <w:t xml:space="preserve">strategy includes </w:t>
      </w:r>
      <w:r w:rsidR="00087FDA">
        <w:t xml:space="preserve">a </w:t>
      </w:r>
      <w:r w:rsidR="00F86440">
        <w:t xml:space="preserve">requirement </w:t>
      </w:r>
      <w:r w:rsidR="00164FD8">
        <w:t xml:space="preserve">to develop a strategy for improving and increasing </w:t>
      </w:r>
      <w:r w:rsidR="00CC5B39">
        <w:t xml:space="preserve">housing for Deaf and Disabled people in the borough. </w:t>
      </w:r>
      <w:r w:rsidR="00A00A24">
        <w:t xml:space="preserve">Merton CIL believes a </w:t>
      </w:r>
      <w:r w:rsidR="006A38B6">
        <w:t>holistic approach to the housing crisis</w:t>
      </w:r>
      <w:r w:rsidR="00A00A24">
        <w:t xml:space="preserve"> is needed to effectively address the housing crisis for Deaf and Disabled people.</w:t>
      </w:r>
      <w:r w:rsidR="005C3CE7">
        <w:t xml:space="preserve"> This would be an opportunity to address issues around occupational therapy and the vital role it plays in aids and adapt</w:t>
      </w:r>
      <w:r w:rsidR="0088780A">
        <w:t>at</w:t>
      </w:r>
      <w:r w:rsidR="005C3CE7">
        <w:t>ions</w:t>
      </w:r>
      <w:r w:rsidR="0088780A">
        <w:t>, the way</w:t>
      </w:r>
      <w:r w:rsidR="00A017E2">
        <w:t xml:space="preserve"> medical assessments for </w:t>
      </w:r>
      <w:r w:rsidR="00B630F9">
        <w:t xml:space="preserve">the </w:t>
      </w:r>
      <w:r w:rsidR="00A017E2">
        <w:t xml:space="preserve">waiting list and homelessness </w:t>
      </w:r>
      <w:r w:rsidR="00303853">
        <w:t xml:space="preserve">applications and </w:t>
      </w:r>
      <w:r w:rsidR="000B3B51">
        <w:t>repairs</w:t>
      </w:r>
      <w:r w:rsidR="003F6AAB">
        <w:t xml:space="preserve"> and</w:t>
      </w:r>
      <w:r w:rsidR="00EF06C8">
        <w:t xml:space="preserve"> maintenance</w:t>
      </w:r>
      <w:r w:rsidR="008B2517">
        <w:t>, all of which are significant concerns to Deaf and Disabled people.</w:t>
      </w:r>
      <w:r w:rsidR="00A017E2">
        <w:t xml:space="preserve"> </w:t>
      </w:r>
      <w:r w:rsidR="005C3CE7">
        <w:t xml:space="preserve"> </w:t>
      </w:r>
    </w:p>
    <w:p w14:paraId="2CBFDADB" w14:textId="6D4804C2" w:rsidR="00580259" w:rsidRDefault="00433DB8" w:rsidP="008D277D">
      <w:pPr>
        <w:ind w:right="567"/>
      </w:pPr>
      <w:r>
        <w:t>This all links to the next section</w:t>
      </w:r>
      <w:r w:rsidR="000B3B51">
        <w:t>.</w:t>
      </w:r>
    </w:p>
    <w:p w14:paraId="7EEB8254" w14:textId="6D5BA8C6" w:rsidR="00DE0574" w:rsidRDefault="00DE0574" w:rsidP="008D277D">
      <w:pPr>
        <w:ind w:right="567"/>
      </w:pPr>
      <w:r>
        <w:t xml:space="preserve">Merton CIL has </w:t>
      </w:r>
      <w:r w:rsidR="00722729">
        <w:t>done little work in relation to care homes or supported living</w:t>
      </w:r>
      <w:r w:rsidR="005E6B7C">
        <w:t xml:space="preserve"> but agrees with the plans in the strategy </w:t>
      </w:r>
      <w:r w:rsidR="000C66BB">
        <w:t xml:space="preserve">about the need for work </w:t>
      </w:r>
      <w:r w:rsidR="005E6B7C">
        <w:t>t</w:t>
      </w:r>
      <w:r w:rsidR="000C66BB">
        <w:t xml:space="preserve">o </w:t>
      </w:r>
      <w:r w:rsidR="001C69FA">
        <w:t xml:space="preserve">clarify the best options for people </w:t>
      </w:r>
      <w:r w:rsidR="00005B40">
        <w:t xml:space="preserve">and develop appropriate accommodation with the required support. </w:t>
      </w:r>
    </w:p>
    <w:p w14:paraId="6D0B5952" w14:textId="7117B737" w:rsidR="007B6D2B" w:rsidRDefault="000740BD" w:rsidP="000740BD">
      <w:pPr>
        <w:pStyle w:val="Heading2"/>
      </w:pPr>
      <w:r>
        <w:t xml:space="preserve">Section </w:t>
      </w:r>
      <w:r w:rsidR="007B6D2B">
        <w:t>11. Using and improving existing stock</w:t>
      </w:r>
    </w:p>
    <w:p w14:paraId="7BAAEA0D" w14:textId="6C60EB56" w:rsidR="000B3B51" w:rsidRDefault="00377B7A" w:rsidP="008D277D">
      <w:pPr>
        <w:ind w:right="567"/>
      </w:pPr>
      <w:r>
        <w:t>This section seems to focus on regeneration with</w:t>
      </w:r>
      <w:r w:rsidR="00CE0EE4">
        <w:t xml:space="preserve">out any consideration </w:t>
      </w:r>
      <w:r w:rsidR="00B630F9">
        <w:t xml:space="preserve">of </w:t>
      </w:r>
      <w:r w:rsidR="00CE0EE4">
        <w:t>the benefits of refurbishment. We believe there are cases where refurbishment may be a preferable option, involving less disruption to people’s lives</w:t>
      </w:r>
      <w:r w:rsidR="00B07BAC">
        <w:t xml:space="preserve">, </w:t>
      </w:r>
      <w:r w:rsidR="00CE0EE4">
        <w:t xml:space="preserve">which can have a particular </w:t>
      </w:r>
      <w:r w:rsidR="00B07BAC">
        <w:t xml:space="preserve">impact on Deaf and Disabled people and </w:t>
      </w:r>
      <w:r w:rsidR="00EA66BC">
        <w:t xml:space="preserve">has less impact on the </w:t>
      </w:r>
      <w:r w:rsidR="000740BD">
        <w:t>environment</w:t>
      </w:r>
      <w:r w:rsidR="00EA66BC">
        <w:t>.</w:t>
      </w:r>
    </w:p>
    <w:p w14:paraId="4915E1D1" w14:textId="6784D894" w:rsidR="009D2B29" w:rsidRDefault="009D2B29" w:rsidP="008D277D">
      <w:pPr>
        <w:ind w:right="567"/>
      </w:pPr>
    </w:p>
    <w:p w14:paraId="6E7594CF" w14:textId="65AFF5B8" w:rsidR="009D2B29" w:rsidRDefault="009D2B29" w:rsidP="008D277D">
      <w:pPr>
        <w:ind w:right="567"/>
      </w:pPr>
      <w:r>
        <w:lastRenderedPageBreak/>
        <w:t xml:space="preserve">Michael Turner </w:t>
      </w:r>
    </w:p>
    <w:p w14:paraId="2A72739B" w14:textId="231D2797" w:rsidR="002003B8" w:rsidRDefault="002003B8" w:rsidP="008D277D">
      <w:pPr>
        <w:ind w:right="567"/>
      </w:pPr>
      <w:r>
        <w:t>Policy and Strategy Manager</w:t>
      </w:r>
    </w:p>
    <w:p w14:paraId="48E70435" w14:textId="77777777" w:rsidR="00366CAB" w:rsidRDefault="002003B8" w:rsidP="00366CAB">
      <w:pPr>
        <w:ind w:right="567"/>
      </w:pPr>
      <w:r>
        <w:t xml:space="preserve">Merton CIL </w:t>
      </w:r>
    </w:p>
    <w:p w14:paraId="08AB432C" w14:textId="47920C19" w:rsidR="002003B8" w:rsidRPr="00C778D9" w:rsidRDefault="00366CAB" w:rsidP="00366CAB">
      <w:pPr>
        <w:ind w:right="567"/>
      </w:pPr>
      <w:r>
        <w:t>michael@mertoncil.org.uk</w:t>
      </w:r>
    </w:p>
    <w:sectPr w:rsidR="002003B8" w:rsidRPr="00C778D9" w:rsidSect="00B30EE7">
      <w:headerReference w:type="default" r:id="rId9"/>
      <w:pgSz w:w="11906" w:h="16838"/>
      <w:pgMar w:top="851" w:right="1440" w:bottom="1276"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62201" w14:textId="77777777" w:rsidR="00012CBB" w:rsidRDefault="00012CBB" w:rsidP="00C665C0">
      <w:pPr>
        <w:spacing w:after="0" w:line="240" w:lineRule="auto"/>
      </w:pPr>
      <w:r>
        <w:separator/>
      </w:r>
    </w:p>
  </w:endnote>
  <w:endnote w:type="continuationSeparator" w:id="0">
    <w:p w14:paraId="0B65CA1E" w14:textId="77777777" w:rsidR="00012CBB" w:rsidRDefault="00012CBB" w:rsidP="00C66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ource Sans Pro Light">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C2825" w14:textId="77777777" w:rsidR="00012CBB" w:rsidRDefault="00012CBB" w:rsidP="00C665C0">
      <w:pPr>
        <w:spacing w:after="0" w:line="240" w:lineRule="auto"/>
      </w:pPr>
      <w:r>
        <w:separator/>
      </w:r>
    </w:p>
  </w:footnote>
  <w:footnote w:type="continuationSeparator" w:id="0">
    <w:p w14:paraId="3717F0E5" w14:textId="77777777" w:rsidR="00012CBB" w:rsidRDefault="00012CBB" w:rsidP="00C665C0">
      <w:pPr>
        <w:spacing w:after="0" w:line="240" w:lineRule="auto"/>
      </w:pPr>
      <w:r>
        <w:continuationSeparator/>
      </w:r>
    </w:p>
  </w:footnote>
  <w:footnote w:id="1">
    <w:p w14:paraId="36775F51" w14:textId="77777777" w:rsidR="00256CC8" w:rsidRPr="000A6D71" w:rsidRDefault="00256CC8" w:rsidP="00256CC8">
      <w:pPr>
        <w:pStyle w:val="FootnoteText"/>
        <w:rPr>
          <w:rFonts w:cs="Tahoma"/>
          <w:sz w:val="24"/>
          <w:szCs w:val="24"/>
        </w:rPr>
      </w:pPr>
      <w:r w:rsidRPr="000A6D71">
        <w:rPr>
          <w:rStyle w:val="FootnoteReference"/>
          <w:rFonts w:cs="Tahoma"/>
          <w:sz w:val="24"/>
          <w:szCs w:val="24"/>
        </w:rPr>
        <w:footnoteRef/>
      </w:r>
      <w:hyperlink r:id="rId1" w:history="1">
        <w:r w:rsidRPr="000A6D71">
          <w:rPr>
            <w:rStyle w:val="Hyperlink"/>
            <w:rFonts w:cs="Tahoma"/>
            <w:color w:val="auto"/>
            <w:sz w:val="24"/>
            <w:szCs w:val="24"/>
          </w:rPr>
          <w:t>https://data.merton.gov.uk/</w:t>
        </w:r>
      </w:hyperlink>
    </w:p>
  </w:footnote>
  <w:footnote w:id="2">
    <w:p w14:paraId="1C907A46" w14:textId="77777777" w:rsidR="00256CC8" w:rsidRDefault="00256CC8" w:rsidP="00256CC8">
      <w:pPr>
        <w:pStyle w:val="FootnoteText"/>
      </w:pPr>
      <w:r>
        <w:rPr>
          <w:rStyle w:val="FootnoteReference"/>
        </w:rPr>
        <w:footnoteRef/>
      </w:r>
      <w:r>
        <w:t xml:space="preserve"> </w:t>
      </w:r>
      <w:r w:rsidRPr="007D7579">
        <w:t>https://maps.london.gov.uk/population-projections/</w:t>
      </w:r>
    </w:p>
  </w:footnote>
  <w:footnote w:id="3">
    <w:p w14:paraId="6DAF8CB8" w14:textId="77777777" w:rsidR="00256CC8" w:rsidRDefault="00256CC8" w:rsidP="00256CC8">
      <w:pPr>
        <w:pStyle w:val="FootnoteText"/>
      </w:pPr>
      <w:r>
        <w:rPr>
          <w:rStyle w:val="FootnoteReference"/>
        </w:rPr>
        <w:footnoteRef/>
      </w:r>
      <w:r>
        <w:t xml:space="preserve"> </w:t>
      </w:r>
      <w:r w:rsidRPr="009200D3">
        <w:t>https://www.merton.gov.uk/assets/Documents/www2/Merton%20Disability%20Health%20and%20Care%20Profile%20October%202018%20V4.pdf</w:t>
      </w:r>
    </w:p>
  </w:footnote>
  <w:footnote w:id="4">
    <w:p w14:paraId="0710ADA8" w14:textId="77777777" w:rsidR="00252771" w:rsidRDefault="00252771" w:rsidP="00252771">
      <w:pPr>
        <w:pStyle w:val="FootnoteText"/>
      </w:pPr>
      <w:r>
        <w:rPr>
          <w:rStyle w:val="FootnoteReference"/>
        </w:rPr>
        <w:footnoteRef/>
      </w:r>
      <w:r>
        <w:t xml:space="preserve"> </w:t>
      </w:r>
      <w:r w:rsidRPr="00340F9A">
        <w:t>https://www.london.gov.uk/sites/default/files/amr_16_final.pdf</w:t>
      </w:r>
    </w:p>
  </w:footnote>
  <w:footnote w:id="5">
    <w:p w14:paraId="25E2C0ED" w14:textId="77777777" w:rsidR="00252771" w:rsidRDefault="00252771" w:rsidP="00252771">
      <w:pPr>
        <w:pStyle w:val="FootnoteText"/>
      </w:pPr>
      <w:r>
        <w:rPr>
          <w:rStyle w:val="FootnoteReference"/>
        </w:rPr>
        <w:footnoteRef/>
      </w:r>
      <w:r>
        <w:t xml:space="preserve"> </w:t>
      </w:r>
      <w:r w:rsidRPr="00340F9A">
        <w:t>https://www.london.gov.uk/sites/default/files/amr_1</w:t>
      </w:r>
      <w:r>
        <w:t>5</w:t>
      </w:r>
      <w:r w:rsidRPr="00340F9A">
        <w:t>_final.pdf</w:t>
      </w:r>
    </w:p>
  </w:footnote>
  <w:footnote w:id="6">
    <w:p w14:paraId="07101519" w14:textId="39FF03A5" w:rsidR="00252771" w:rsidRDefault="00252771" w:rsidP="00252771">
      <w:pPr>
        <w:pStyle w:val="FootnoteText"/>
      </w:pPr>
      <w:r>
        <w:rPr>
          <w:rStyle w:val="FootnoteReference"/>
        </w:rPr>
        <w:footnoteRef/>
      </w:r>
      <w:r>
        <w:t xml:space="preserve"> </w:t>
      </w:r>
      <w:r w:rsidRPr="00340F9A">
        <w:t>https://www.london.gov.uk/sites/default/files/amr_1</w:t>
      </w:r>
      <w:r w:rsidR="00CF6CBE">
        <w:t>4</w:t>
      </w:r>
      <w:r w:rsidRPr="00340F9A">
        <w:t>_final.pdf</w:t>
      </w:r>
    </w:p>
    <w:p w14:paraId="0F062120" w14:textId="77777777" w:rsidR="00252771" w:rsidRDefault="00252771" w:rsidP="00252771">
      <w:pPr>
        <w:pStyle w:val="FootnoteText"/>
      </w:pPr>
    </w:p>
  </w:footnote>
  <w:footnote w:id="7">
    <w:p w14:paraId="33DB2AB4" w14:textId="685D7071" w:rsidR="00FC46D6" w:rsidRDefault="00FC46D6">
      <w:pPr>
        <w:pStyle w:val="FootnoteText"/>
      </w:pPr>
      <w:r>
        <w:rPr>
          <w:rStyle w:val="FootnoteReference"/>
        </w:rPr>
        <w:footnoteRef/>
      </w:r>
      <w:r>
        <w:t xml:space="preserve"> </w:t>
      </w:r>
      <w:r w:rsidR="009D700B" w:rsidRPr="009D700B">
        <w:t>https://www.equalityhumanrights.com/en/publication-download/housing-and-disabled-people-britains-hidden-crisis</w:t>
      </w:r>
    </w:p>
  </w:footnote>
  <w:footnote w:id="8">
    <w:p w14:paraId="2D5FDEEB" w14:textId="7F7A5C61" w:rsidR="00B25D6F" w:rsidRDefault="00B25D6F">
      <w:pPr>
        <w:pStyle w:val="FootnoteText"/>
      </w:pPr>
      <w:r>
        <w:rPr>
          <w:rStyle w:val="FootnoteReference"/>
        </w:rPr>
        <w:footnoteRef/>
      </w:r>
      <w:r>
        <w:t xml:space="preserve"> </w:t>
      </w:r>
      <w:hyperlink r:id="rId2" w:history="1">
        <w:r w:rsidRPr="00476D4D">
          <w:rPr>
            <w:rStyle w:val="Hyperlink"/>
          </w:rPr>
          <w:t>https://www.equalityhumanrights.com/en/publication-download/housing-and-disabled-people-toolkit-local-authorities-england</w:t>
        </w:r>
      </w:hyperlink>
      <w:r>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5937444"/>
      <w:docPartObj>
        <w:docPartGallery w:val="Page Numbers (Top of Page)"/>
        <w:docPartUnique/>
      </w:docPartObj>
    </w:sdtPr>
    <w:sdtEndPr>
      <w:rPr>
        <w:noProof/>
        <w:sz w:val="24"/>
      </w:rPr>
    </w:sdtEndPr>
    <w:sdtContent>
      <w:p w14:paraId="35C905DA" w14:textId="17187445" w:rsidR="0032383D" w:rsidRPr="00F95605" w:rsidRDefault="0032383D">
        <w:pPr>
          <w:pStyle w:val="Header"/>
          <w:jc w:val="right"/>
          <w:rPr>
            <w:sz w:val="24"/>
          </w:rPr>
        </w:pPr>
        <w:r w:rsidRPr="00F95605">
          <w:rPr>
            <w:sz w:val="24"/>
          </w:rPr>
          <w:fldChar w:fldCharType="begin"/>
        </w:r>
        <w:r w:rsidRPr="00F95605">
          <w:rPr>
            <w:sz w:val="24"/>
          </w:rPr>
          <w:instrText xml:space="preserve"> PAGE   \* MERGEFORMAT </w:instrText>
        </w:r>
        <w:r w:rsidRPr="00F95605">
          <w:rPr>
            <w:sz w:val="24"/>
          </w:rPr>
          <w:fldChar w:fldCharType="separate"/>
        </w:r>
        <w:r w:rsidRPr="00F95605">
          <w:rPr>
            <w:noProof/>
            <w:sz w:val="24"/>
          </w:rPr>
          <w:t>2</w:t>
        </w:r>
        <w:r w:rsidRPr="00F95605">
          <w:rPr>
            <w:noProof/>
            <w:sz w:val="24"/>
          </w:rPr>
          <w:fldChar w:fldCharType="end"/>
        </w:r>
      </w:p>
    </w:sdtContent>
  </w:sdt>
  <w:p w14:paraId="0A623093" w14:textId="77777777" w:rsidR="0032383D" w:rsidRDefault="003238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354C0"/>
    <w:multiLevelType w:val="hybridMultilevel"/>
    <w:tmpl w:val="0EDE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D41D1F"/>
    <w:multiLevelType w:val="hybridMultilevel"/>
    <w:tmpl w:val="A4283A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F192D89"/>
    <w:multiLevelType w:val="hybridMultilevel"/>
    <w:tmpl w:val="55E80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35F19A7"/>
    <w:multiLevelType w:val="hybridMultilevel"/>
    <w:tmpl w:val="1F8E12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AyNzU3NzAyNTQxMDdW0lEKTi0uzszPAykwNKsFALbEXqwtAAAA"/>
  </w:docVars>
  <w:rsids>
    <w:rsidRoot w:val="008A271C"/>
    <w:rsid w:val="00000E96"/>
    <w:rsid w:val="00003A38"/>
    <w:rsid w:val="00003BCB"/>
    <w:rsid w:val="000041DF"/>
    <w:rsid w:val="00005B40"/>
    <w:rsid w:val="00006354"/>
    <w:rsid w:val="00006428"/>
    <w:rsid w:val="00011136"/>
    <w:rsid w:val="00012CBB"/>
    <w:rsid w:val="00013C2D"/>
    <w:rsid w:val="00014DDD"/>
    <w:rsid w:val="00015507"/>
    <w:rsid w:val="00015A7C"/>
    <w:rsid w:val="0002306E"/>
    <w:rsid w:val="00024587"/>
    <w:rsid w:val="00024CA2"/>
    <w:rsid w:val="00025A74"/>
    <w:rsid w:val="00026721"/>
    <w:rsid w:val="000306E0"/>
    <w:rsid w:val="0003109A"/>
    <w:rsid w:val="00031EF0"/>
    <w:rsid w:val="00033A04"/>
    <w:rsid w:val="000344B1"/>
    <w:rsid w:val="00035CD9"/>
    <w:rsid w:val="00036460"/>
    <w:rsid w:val="00036CC3"/>
    <w:rsid w:val="00037995"/>
    <w:rsid w:val="00040DE5"/>
    <w:rsid w:val="0004206E"/>
    <w:rsid w:val="00042157"/>
    <w:rsid w:val="000440DD"/>
    <w:rsid w:val="0004435A"/>
    <w:rsid w:val="00045991"/>
    <w:rsid w:val="00046B8E"/>
    <w:rsid w:val="000526F2"/>
    <w:rsid w:val="00054101"/>
    <w:rsid w:val="00054ACF"/>
    <w:rsid w:val="00054C67"/>
    <w:rsid w:val="00055B4C"/>
    <w:rsid w:val="00056FB9"/>
    <w:rsid w:val="00060484"/>
    <w:rsid w:val="0006465E"/>
    <w:rsid w:val="000652B7"/>
    <w:rsid w:val="00066922"/>
    <w:rsid w:val="00070146"/>
    <w:rsid w:val="00071486"/>
    <w:rsid w:val="000716AF"/>
    <w:rsid w:val="00071D1F"/>
    <w:rsid w:val="00073319"/>
    <w:rsid w:val="00073DB5"/>
    <w:rsid w:val="000740BD"/>
    <w:rsid w:val="00075E62"/>
    <w:rsid w:val="00075F99"/>
    <w:rsid w:val="00077515"/>
    <w:rsid w:val="000776A9"/>
    <w:rsid w:val="00077AE1"/>
    <w:rsid w:val="0008141C"/>
    <w:rsid w:val="000819B7"/>
    <w:rsid w:val="00081DDE"/>
    <w:rsid w:val="000844C7"/>
    <w:rsid w:val="000848E0"/>
    <w:rsid w:val="00086679"/>
    <w:rsid w:val="00086BF9"/>
    <w:rsid w:val="0008759D"/>
    <w:rsid w:val="00087FDA"/>
    <w:rsid w:val="00090DC1"/>
    <w:rsid w:val="00093FE9"/>
    <w:rsid w:val="00096D4F"/>
    <w:rsid w:val="000A0F4A"/>
    <w:rsid w:val="000A1098"/>
    <w:rsid w:val="000A1499"/>
    <w:rsid w:val="000A20B2"/>
    <w:rsid w:val="000A342E"/>
    <w:rsid w:val="000A3DD8"/>
    <w:rsid w:val="000A65A2"/>
    <w:rsid w:val="000A6AFB"/>
    <w:rsid w:val="000A6D71"/>
    <w:rsid w:val="000B0805"/>
    <w:rsid w:val="000B1564"/>
    <w:rsid w:val="000B34A6"/>
    <w:rsid w:val="000B3B51"/>
    <w:rsid w:val="000B462F"/>
    <w:rsid w:val="000B50D2"/>
    <w:rsid w:val="000B57E7"/>
    <w:rsid w:val="000B6FAA"/>
    <w:rsid w:val="000C02A5"/>
    <w:rsid w:val="000C139C"/>
    <w:rsid w:val="000C2E8E"/>
    <w:rsid w:val="000C32C0"/>
    <w:rsid w:val="000C386B"/>
    <w:rsid w:val="000C4306"/>
    <w:rsid w:val="000C4CC9"/>
    <w:rsid w:val="000C66BB"/>
    <w:rsid w:val="000C693A"/>
    <w:rsid w:val="000C6D96"/>
    <w:rsid w:val="000D21AA"/>
    <w:rsid w:val="000D2D09"/>
    <w:rsid w:val="000D392E"/>
    <w:rsid w:val="000D3935"/>
    <w:rsid w:val="000D5395"/>
    <w:rsid w:val="000D61F3"/>
    <w:rsid w:val="000D78E3"/>
    <w:rsid w:val="000D7B81"/>
    <w:rsid w:val="000E34C3"/>
    <w:rsid w:val="000E690B"/>
    <w:rsid w:val="000F0D9B"/>
    <w:rsid w:val="000F1125"/>
    <w:rsid w:val="000F277F"/>
    <w:rsid w:val="000F4DC8"/>
    <w:rsid w:val="000F5DC1"/>
    <w:rsid w:val="00103A72"/>
    <w:rsid w:val="00106118"/>
    <w:rsid w:val="001070F0"/>
    <w:rsid w:val="001074A4"/>
    <w:rsid w:val="001077F3"/>
    <w:rsid w:val="00112551"/>
    <w:rsid w:val="0011256C"/>
    <w:rsid w:val="00113984"/>
    <w:rsid w:val="00115BAD"/>
    <w:rsid w:val="00117686"/>
    <w:rsid w:val="0011790A"/>
    <w:rsid w:val="00120D0B"/>
    <w:rsid w:val="00120FDD"/>
    <w:rsid w:val="00121531"/>
    <w:rsid w:val="00121F3D"/>
    <w:rsid w:val="00125C20"/>
    <w:rsid w:val="00125DF1"/>
    <w:rsid w:val="001262EE"/>
    <w:rsid w:val="00126A7E"/>
    <w:rsid w:val="0013051F"/>
    <w:rsid w:val="0013069E"/>
    <w:rsid w:val="001312BD"/>
    <w:rsid w:val="00133387"/>
    <w:rsid w:val="00133E29"/>
    <w:rsid w:val="00134832"/>
    <w:rsid w:val="00134BFA"/>
    <w:rsid w:val="00134ED2"/>
    <w:rsid w:val="00137674"/>
    <w:rsid w:val="00140B9E"/>
    <w:rsid w:val="00141730"/>
    <w:rsid w:val="001432AA"/>
    <w:rsid w:val="0014370C"/>
    <w:rsid w:val="00144E28"/>
    <w:rsid w:val="0014516F"/>
    <w:rsid w:val="0014687D"/>
    <w:rsid w:val="00147ED3"/>
    <w:rsid w:val="00151CC1"/>
    <w:rsid w:val="00152E3F"/>
    <w:rsid w:val="00153A24"/>
    <w:rsid w:val="00153E95"/>
    <w:rsid w:val="00155657"/>
    <w:rsid w:val="001604F4"/>
    <w:rsid w:val="0016094D"/>
    <w:rsid w:val="001618AF"/>
    <w:rsid w:val="001625A7"/>
    <w:rsid w:val="00163C6B"/>
    <w:rsid w:val="00164FD8"/>
    <w:rsid w:val="00166E9D"/>
    <w:rsid w:val="001713B4"/>
    <w:rsid w:val="00175403"/>
    <w:rsid w:val="00182EDE"/>
    <w:rsid w:val="0018755F"/>
    <w:rsid w:val="00187BD8"/>
    <w:rsid w:val="00190A9C"/>
    <w:rsid w:val="001910E9"/>
    <w:rsid w:val="00192223"/>
    <w:rsid w:val="0019275F"/>
    <w:rsid w:val="00192C3E"/>
    <w:rsid w:val="0019356B"/>
    <w:rsid w:val="00193582"/>
    <w:rsid w:val="001957B5"/>
    <w:rsid w:val="00195C43"/>
    <w:rsid w:val="0019634C"/>
    <w:rsid w:val="001A1743"/>
    <w:rsid w:val="001A29CE"/>
    <w:rsid w:val="001A5707"/>
    <w:rsid w:val="001B194E"/>
    <w:rsid w:val="001B19FD"/>
    <w:rsid w:val="001B2A9A"/>
    <w:rsid w:val="001B56FB"/>
    <w:rsid w:val="001B57BA"/>
    <w:rsid w:val="001B5D7B"/>
    <w:rsid w:val="001B5EEF"/>
    <w:rsid w:val="001B6A67"/>
    <w:rsid w:val="001B6FC5"/>
    <w:rsid w:val="001B7FF6"/>
    <w:rsid w:val="001C0DFB"/>
    <w:rsid w:val="001C391D"/>
    <w:rsid w:val="001C3F12"/>
    <w:rsid w:val="001C42F2"/>
    <w:rsid w:val="001C43C1"/>
    <w:rsid w:val="001C5F21"/>
    <w:rsid w:val="001C69FA"/>
    <w:rsid w:val="001C7156"/>
    <w:rsid w:val="001C7EDE"/>
    <w:rsid w:val="001D02B8"/>
    <w:rsid w:val="001D0AE4"/>
    <w:rsid w:val="001D0FDB"/>
    <w:rsid w:val="001D12BD"/>
    <w:rsid w:val="001D2376"/>
    <w:rsid w:val="001D3204"/>
    <w:rsid w:val="001D4D01"/>
    <w:rsid w:val="001D6BF2"/>
    <w:rsid w:val="001D7BE6"/>
    <w:rsid w:val="001E04B8"/>
    <w:rsid w:val="001E0AF2"/>
    <w:rsid w:val="001E160C"/>
    <w:rsid w:val="001E1AAE"/>
    <w:rsid w:val="001E1D1E"/>
    <w:rsid w:val="001E3835"/>
    <w:rsid w:val="001E6F8A"/>
    <w:rsid w:val="001E7A90"/>
    <w:rsid w:val="001F17E0"/>
    <w:rsid w:val="001F28FB"/>
    <w:rsid w:val="001F5009"/>
    <w:rsid w:val="002002D5"/>
    <w:rsid w:val="002003B8"/>
    <w:rsid w:val="00201FEF"/>
    <w:rsid w:val="002024DD"/>
    <w:rsid w:val="00202C81"/>
    <w:rsid w:val="00203010"/>
    <w:rsid w:val="00203C6C"/>
    <w:rsid w:val="0020415B"/>
    <w:rsid w:val="002046EA"/>
    <w:rsid w:val="002052C6"/>
    <w:rsid w:val="00211461"/>
    <w:rsid w:val="0021187A"/>
    <w:rsid w:val="00212677"/>
    <w:rsid w:val="00213096"/>
    <w:rsid w:val="002145F8"/>
    <w:rsid w:val="00214A6C"/>
    <w:rsid w:val="00214FFA"/>
    <w:rsid w:val="0021573F"/>
    <w:rsid w:val="0021600A"/>
    <w:rsid w:val="002166AE"/>
    <w:rsid w:val="00216769"/>
    <w:rsid w:val="00220790"/>
    <w:rsid w:val="002208C6"/>
    <w:rsid w:val="002228D9"/>
    <w:rsid w:val="00222F2D"/>
    <w:rsid w:val="00224434"/>
    <w:rsid w:val="002249A1"/>
    <w:rsid w:val="00224CC0"/>
    <w:rsid w:val="0023012F"/>
    <w:rsid w:val="00230AC0"/>
    <w:rsid w:val="00230CBE"/>
    <w:rsid w:val="002335D3"/>
    <w:rsid w:val="00234694"/>
    <w:rsid w:val="00235125"/>
    <w:rsid w:val="0023715F"/>
    <w:rsid w:val="00241E1E"/>
    <w:rsid w:val="00244590"/>
    <w:rsid w:val="00247473"/>
    <w:rsid w:val="002503F1"/>
    <w:rsid w:val="002519E4"/>
    <w:rsid w:val="00251E84"/>
    <w:rsid w:val="00252771"/>
    <w:rsid w:val="00254CD0"/>
    <w:rsid w:val="002557CF"/>
    <w:rsid w:val="002558CE"/>
    <w:rsid w:val="00256CC8"/>
    <w:rsid w:val="00261A40"/>
    <w:rsid w:val="00261F51"/>
    <w:rsid w:val="00262252"/>
    <w:rsid w:val="00262272"/>
    <w:rsid w:val="0026386F"/>
    <w:rsid w:val="0026441E"/>
    <w:rsid w:val="002651F7"/>
    <w:rsid w:val="002654A0"/>
    <w:rsid w:val="0026698E"/>
    <w:rsid w:val="00267543"/>
    <w:rsid w:val="002711B7"/>
    <w:rsid w:val="00271A9F"/>
    <w:rsid w:val="0027427A"/>
    <w:rsid w:val="0027491A"/>
    <w:rsid w:val="00274B65"/>
    <w:rsid w:val="00275505"/>
    <w:rsid w:val="002761E4"/>
    <w:rsid w:val="00276861"/>
    <w:rsid w:val="00280BC1"/>
    <w:rsid w:val="00281076"/>
    <w:rsid w:val="00283C29"/>
    <w:rsid w:val="002936A5"/>
    <w:rsid w:val="00294484"/>
    <w:rsid w:val="00294B9F"/>
    <w:rsid w:val="002957CA"/>
    <w:rsid w:val="00297DF6"/>
    <w:rsid w:val="002A2EF9"/>
    <w:rsid w:val="002A2FD0"/>
    <w:rsid w:val="002A556F"/>
    <w:rsid w:val="002A65F5"/>
    <w:rsid w:val="002B2693"/>
    <w:rsid w:val="002B2EAD"/>
    <w:rsid w:val="002B4BCB"/>
    <w:rsid w:val="002B4C2A"/>
    <w:rsid w:val="002B526F"/>
    <w:rsid w:val="002B58F1"/>
    <w:rsid w:val="002B6E70"/>
    <w:rsid w:val="002B7EE8"/>
    <w:rsid w:val="002C0C63"/>
    <w:rsid w:val="002C429B"/>
    <w:rsid w:val="002C50B1"/>
    <w:rsid w:val="002C6802"/>
    <w:rsid w:val="002C773F"/>
    <w:rsid w:val="002D097A"/>
    <w:rsid w:val="002D0EA2"/>
    <w:rsid w:val="002D2336"/>
    <w:rsid w:val="002D2732"/>
    <w:rsid w:val="002D3280"/>
    <w:rsid w:val="002D4251"/>
    <w:rsid w:val="002D72B7"/>
    <w:rsid w:val="002D7412"/>
    <w:rsid w:val="002E031E"/>
    <w:rsid w:val="002E44EB"/>
    <w:rsid w:val="002E6C4B"/>
    <w:rsid w:val="002F0962"/>
    <w:rsid w:val="002F1756"/>
    <w:rsid w:val="002F4E42"/>
    <w:rsid w:val="002F5031"/>
    <w:rsid w:val="00303853"/>
    <w:rsid w:val="003046EC"/>
    <w:rsid w:val="003069E7"/>
    <w:rsid w:val="0030705F"/>
    <w:rsid w:val="00311033"/>
    <w:rsid w:val="00311B51"/>
    <w:rsid w:val="00312DF8"/>
    <w:rsid w:val="003131FA"/>
    <w:rsid w:val="00320506"/>
    <w:rsid w:val="0032193D"/>
    <w:rsid w:val="0032383D"/>
    <w:rsid w:val="00324424"/>
    <w:rsid w:val="00324C8F"/>
    <w:rsid w:val="003258B4"/>
    <w:rsid w:val="00327081"/>
    <w:rsid w:val="003315EE"/>
    <w:rsid w:val="00332B99"/>
    <w:rsid w:val="00332D28"/>
    <w:rsid w:val="003364E1"/>
    <w:rsid w:val="00337233"/>
    <w:rsid w:val="003373F8"/>
    <w:rsid w:val="003403C6"/>
    <w:rsid w:val="00340F9A"/>
    <w:rsid w:val="0034252F"/>
    <w:rsid w:val="00346D31"/>
    <w:rsid w:val="0034758C"/>
    <w:rsid w:val="0034769C"/>
    <w:rsid w:val="00350D43"/>
    <w:rsid w:val="003512E2"/>
    <w:rsid w:val="0035153B"/>
    <w:rsid w:val="00352F85"/>
    <w:rsid w:val="00353F54"/>
    <w:rsid w:val="00355205"/>
    <w:rsid w:val="00356DCB"/>
    <w:rsid w:val="00356DD4"/>
    <w:rsid w:val="003579BE"/>
    <w:rsid w:val="00360581"/>
    <w:rsid w:val="003608B8"/>
    <w:rsid w:val="00361C19"/>
    <w:rsid w:val="0036231A"/>
    <w:rsid w:val="003632B4"/>
    <w:rsid w:val="00365C34"/>
    <w:rsid w:val="00366CAB"/>
    <w:rsid w:val="003718E7"/>
    <w:rsid w:val="00371B0F"/>
    <w:rsid w:val="00372262"/>
    <w:rsid w:val="003728A8"/>
    <w:rsid w:val="00372D7A"/>
    <w:rsid w:val="00373030"/>
    <w:rsid w:val="00377B7A"/>
    <w:rsid w:val="003804B8"/>
    <w:rsid w:val="003817DD"/>
    <w:rsid w:val="00381C01"/>
    <w:rsid w:val="003821FC"/>
    <w:rsid w:val="0038316C"/>
    <w:rsid w:val="00385C91"/>
    <w:rsid w:val="00385E43"/>
    <w:rsid w:val="003919CB"/>
    <w:rsid w:val="00392D6D"/>
    <w:rsid w:val="0039302E"/>
    <w:rsid w:val="003933E6"/>
    <w:rsid w:val="00393EB0"/>
    <w:rsid w:val="003955EF"/>
    <w:rsid w:val="003A0A65"/>
    <w:rsid w:val="003A112E"/>
    <w:rsid w:val="003A14E1"/>
    <w:rsid w:val="003A155B"/>
    <w:rsid w:val="003A41AF"/>
    <w:rsid w:val="003A42AB"/>
    <w:rsid w:val="003A4AB5"/>
    <w:rsid w:val="003A53A1"/>
    <w:rsid w:val="003A5C84"/>
    <w:rsid w:val="003A695A"/>
    <w:rsid w:val="003B02FC"/>
    <w:rsid w:val="003B1E04"/>
    <w:rsid w:val="003B296D"/>
    <w:rsid w:val="003B3B89"/>
    <w:rsid w:val="003B3FD3"/>
    <w:rsid w:val="003B5523"/>
    <w:rsid w:val="003B5752"/>
    <w:rsid w:val="003B738D"/>
    <w:rsid w:val="003B7469"/>
    <w:rsid w:val="003C004B"/>
    <w:rsid w:val="003C21C6"/>
    <w:rsid w:val="003C2306"/>
    <w:rsid w:val="003C2D30"/>
    <w:rsid w:val="003C4442"/>
    <w:rsid w:val="003C5AE4"/>
    <w:rsid w:val="003C5DE2"/>
    <w:rsid w:val="003C685D"/>
    <w:rsid w:val="003C6DD6"/>
    <w:rsid w:val="003C7178"/>
    <w:rsid w:val="003C78A0"/>
    <w:rsid w:val="003D00C9"/>
    <w:rsid w:val="003D1281"/>
    <w:rsid w:val="003D24B7"/>
    <w:rsid w:val="003D53B9"/>
    <w:rsid w:val="003D5E1A"/>
    <w:rsid w:val="003E0081"/>
    <w:rsid w:val="003E00A3"/>
    <w:rsid w:val="003E173E"/>
    <w:rsid w:val="003E3035"/>
    <w:rsid w:val="003E3257"/>
    <w:rsid w:val="003E4C05"/>
    <w:rsid w:val="003E5904"/>
    <w:rsid w:val="003E5D5E"/>
    <w:rsid w:val="003F40F1"/>
    <w:rsid w:val="003F60AB"/>
    <w:rsid w:val="003F6163"/>
    <w:rsid w:val="003F6AAB"/>
    <w:rsid w:val="003F6C2E"/>
    <w:rsid w:val="003F71C4"/>
    <w:rsid w:val="004035BA"/>
    <w:rsid w:val="00403ECC"/>
    <w:rsid w:val="004048B2"/>
    <w:rsid w:val="00407077"/>
    <w:rsid w:val="004111D5"/>
    <w:rsid w:val="00411796"/>
    <w:rsid w:val="004139CE"/>
    <w:rsid w:val="00413CE8"/>
    <w:rsid w:val="00414B6B"/>
    <w:rsid w:val="00415175"/>
    <w:rsid w:val="00415CE8"/>
    <w:rsid w:val="00417866"/>
    <w:rsid w:val="0042112D"/>
    <w:rsid w:val="004218A0"/>
    <w:rsid w:val="00422087"/>
    <w:rsid w:val="00423D20"/>
    <w:rsid w:val="00424687"/>
    <w:rsid w:val="004253E9"/>
    <w:rsid w:val="00426D53"/>
    <w:rsid w:val="00427CEE"/>
    <w:rsid w:val="00433DB8"/>
    <w:rsid w:val="004342E2"/>
    <w:rsid w:val="00436F27"/>
    <w:rsid w:val="004375EB"/>
    <w:rsid w:val="00441403"/>
    <w:rsid w:val="00444B0F"/>
    <w:rsid w:val="0044575D"/>
    <w:rsid w:val="00446E86"/>
    <w:rsid w:val="00447ABA"/>
    <w:rsid w:val="00450355"/>
    <w:rsid w:val="00450FDF"/>
    <w:rsid w:val="00455402"/>
    <w:rsid w:val="00455544"/>
    <w:rsid w:val="00461A50"/>
    <w:rsid w:val="00461B85"/>
    <w:rsid w:val="004648F5"/>
    <w:rsid w:val="00464B69"/>
    <w:rsid w:val="004654B9"/>
    <w:rsid w:val="00465E68"/>
    <w:rsid w:val="00466776"/>
    <w:rsid w:val="004668AF"/>
    <w:rsid w:val="00466D7A"/>
    <w:rsid w:val="00467112"/>
    <w:rsid w:val="00467516"/>
    <w:rsid w:val="004714B6"/>
    <w:rsid w:val="00471936"/>
    <w:rsid w:val="00471CCC"/>
    <w:rsid w:val="00471F92"/>
    <w:rsid w:val="00472D5B"/>
    <w:rsid w:val="00473310"/>
    <w:rsid w:val="0047559F"/>
    <w:rsid w:val="00477B63"/>
    <w:rsid w:val="00481C28"/>
    <w:rsid w:val="00481F09"/>
    <w:rsid w:val="0048430C"/>
    <w:rsid w:val="00484BA4"/>
    <w:rsid w:val="00486C21"/>
    <w:rsid w:val="0048766B"/>
    <w:rsid w:val="004907A5"/>
    <w:rsid w:val="00490BE5"/>
    <w:rsid w:val="00494698"/>
    <w:rsid w:val="00494BC2"/>
    <w:rsid w:val="00495756"/>
    <w:rsid w:val="00495E64"/>
    <w:rsid w:val="00496037"/>
    <w:rsid w:val="00496B2F"/>
    <w:rsid w:val="00497901"/>
    <w:rsid w:val="00497914"/>
    <w:rsid w:val="004979A5"/>
    <w:rsid w:val="004A0969"/>
    <w:rsid w:val="004A0E34"/>
    <w:rsid w:val="004A2343"/>
    <w:rsid w:val="004A3847"/>
    <w:rsid w:val="004A3EDD"/>
    <w:rsid w:val="004A444A"/>
    <w:rsid w:val="004A5A4E"/>
    <w:rsid w:val="004A608C"/>
    <w:rsid w:val="004A612B"/>
    <w:rsid w:val="004A6EAE"/>
    <w:rsid w:val="004A6F68"/>
    <w:rsid w:val="004B0AC7"/>
    <w:rsid w:val="004B14FA"/>
    <w:rsid w:val="004B1D30"/>
    <w:rsid w:val="004B2C7F"/>
    <w:rsid w:val="004B2E5D"/>
    <w:rsid w:val="004B3CE7"/>
    <w:rsid w:val="004B4F94"/>
    <w:rsid w:val="004B691D"/>
    <w:rsid w:val="004B73B5"/>
    <w:rsid w:val="004B7489"/>
    <w:rsid w:val="004C1872"/>
    <w:rsid w:val="004C218E"/>
    <w:rsid w:val="004C2B02"/>
    <w:rsid w:val="004C4906"/>
    <w:rsid w:val="004C6022"/>
    <w:rsid w:val="004C61C4"/>
    <w:rsid w:val="004C6F1C"/>
    <w:rsid w:val="004C76CB"/>
    <w:rsid w:val="004C7B63"/>
    <w:rsid w:val="004C7DA5"/>
    <w:rsid w:val="004D05B0"/>
    <w:rsid w:val="004D0D76"/>
    <w:rsid w:val="004D133E"/>
    <w:rsid w:val="004D184C"/>
    <w:rsid w:val="004D1998"/>
    <w:rsid w:val="004D2F71"/>
    <w:rsid w:val="004D38AB"/>
    <w:rsid w:val="004D39BA"/>
    <w:rsid w:val="004D3D1A"/>
    <w:rsid w:val="004D465F"/>
    <w:rsid w:val="004E02B4"/>
    <w:rsid w:val="004E0577"/>
    <w:rsid w:val="004E15E2"/>
    <w:rsid w:val="004E1C54"/>
    <w:rsid w:val="004E20B8"/>
    <w:rsid w:val="004E3B63"/>
    <w:rsid w:val="004E4B82"/>
    <w:rsid w:val="004E4CC3"/>
    <w:rsid w:val="004E5553"/>
    <w:rsid w:val="004E5601"/>
    <w:rsid w:val="004E5763"/>
    <w:rsid w:val="004E6A5A"/>
    <w:rsid w:val="004E6EA5"/>
    <w:rsid w:val="004F11F8"/>
    <w:rsid w:val="004F1295"/>
    <w:rsid w:val="004F1CDE"/>
    <w:rsid w:val="004F2C21"/>
    <w:rsid w:val="004F57AF"/>
    <w:rsid w:val="004F5C5F"/>
    <w:rsid w:val="004F62F8"/>
    <w:rsid w:val="004F679F"/>
    <w:rsid w:val="004F7874"/>
    <w:rsid w:val="0050261D"/>
    <w:rsid w:val="00502842"/>
    <w:rsid w:val="005030BC"/>
    <w:rsid w:val="0050518B"/>
    <w:rsid w:val="00505ED2"/>
    <w:rsid w:val="00506196"/>
    <w:rsid w:val="00507640"/>
    <w:rsid w:val="00507CCB"/>
    <w:rsid w:val="00511578"/>
    <w:rsid w:val="00513BE3"/>
    <w:rsid w:val="00514344"/>
    <w:rsid w:val="00517067"/>
    <w:rsid w:val="005171E1"/>
    <w:rsid w:val="00521E62"/>
    <w:rsid w:val="0052200E"/>
    <w:rsid w:val="0053116F"/>
    <w:rsid w:val="0053195B"/>
    <w:rsid w:val="00531C7B"/>
    <w:rsid w:val="00533509"/>
    <w:rsid w:val="005344FB"/>
    <w:rsid w:val="00535DFF"/>
    <w:rsid w:val="00540027"/>
    <w:rsid w:val="00540384"/>
    <w:rsid w:val="005406C4"/>
    <w:rsid w:val="00540C8C"/>
    <w:rsid w:val="005415F2"/>
    <w:rsid w:val="005441AF"/>
    <w:rsid w:val="005452E7"/>
    <w:rsid w:val="005455EA"/>
    <w:rsid w:val="00545E04"/>
    <w:rsid w:val="00546D46"/>
    <w:rsid w:val="00546E76"/>
    <w:rsid w:val="0054735C"/>
    <w:rsid w:val="00555B9F"/>
    <w:rsid w:val="00555D92"/>
    <w:rsid w:val="0055688B"/>
    <w:rsid w:val="00560793"/>
    <w:rsid w:val="00560B29"/>
    <w:rsid w:val="00560FC9"/>
    <w:rsid w:val="0057065A"/>
    <w:rsid w:val="00570EDA"/>
    <w:rsid w:val="00571FF6"/>
    <w:rsid w:val="00572A1D"/>
    <w:rsid w:val="0057484E"/>
    <w:rsid w:val="00574A58"/>
    <w:rsid w:val="00574C6E"/>
    <w:rsid w:val="00580259"/>
    <w:rsid w:val="00580B45"/>
    <w:rsid w:val="00580BFD"/>
    <w:rsid w:val="00580CE2"/>
    <w:rsid w:val="005813B7"/>
    <w:rsid w:val="00581421"/>
    <w:rsid w:val="005818AC"/>
    <w:rsid w:val="005830A6"/>
    <w:rsid w:val="00585AA1"/>
    <w:rsid w:val="0058622F"/>
    <w:rsid w:val="0059003B"/>
    <w:rsid w:val="00590AE2"/>
    <w:rsid w:val="00590F1F"/>
    <w:rsid w:val="00592775"/>
    <w:rsid w:val="005968D2"/>
    <w:rsid w:val="005A0415"/>
    <w:rsid w:val="005A2825"/>
    <w:rsid w:val="005A2FBF"/>
    <w:rsid w:val="005A374E"/>
    <w:rsid w:val="005A4E53"/>
    <w:rsid w:val="005A58FF"/>
    <w:rsid w:val="005A768B"/>
    <w:rsid w:val="005B036B"/>
    <w:rsid w:val="005B1D29"/>
    <w:rsid w:val="005B20A9"/>
    <w:rsid w:val="005B2F1D"/>
    <w:rsid w:val="005B34A9"/>
    <w:rsid w:val="005B54C2"/>
    <w:rsid w:val="005B557C"/>
    <w:rsid w:val="005B6AE8"/>
    <w:rsid w:val="005C0E4B"/>
    <w:rsid w:val="005C21F3"/>
    <w:rsid w:val="005C3CE7"/>
    <w:rsid w:val="005C508B"/>
    <w:rsid w:val="005C70C6"/>
    <w:rsid w:val="005D6A7E"/>
    <w:rsid w:val="005D742B"/>
    <w:rsid w:val="005E379C"/>
    <w:rsid w:val="005E45F3"/>
    <w:rsid w:val="005E4C6B"/>
    <w:rsid w:val="005E4E37"/>
    <w:rsid w:val="005E55C6"/>
    <w:rsid w:val="005E56AE"/>
    <w:rsid w:val="005E5D46"/>
    <w:rsid w:val="005E6B7C"/>
    <w:rsid w:val="005E6B94"/>
    <w:rsid w:val="005F0455"/>
    <w:rsid w:val="005F0C95"/>
    <w:rsid w:val="005F4DE0"/>
    <w:rsid w:val="005F57AE"/>
    <w:rsid w:val="005F7F3E"/>
    <w:rsid w:val="006010FE"/>
    <w:rsid w:val="006013C0"/>
    <w:rsid w:val="00601A72"/>
    <w:rsid w:val="00602767"/>
    <w:rsid w:val="006030AA"/>
    <w:rsid w:val="00603EFB"/>
    <w:rsid w:val="006059FD"/>
    <w:rsid w:val="00612DCE"/>
    <w:rsid w:val="006203CC"/>
    <w:rsid w:val="00621FE7"/>
    <w:rsid w:val="00623B85"/>
    <w:rsid w:val="00624AE9"/>
    <w:rsid w:val="006264E5"/>
    <w:rsid w:val="00626DC3"/>
    <w:rsid w:val="00627092"/>
    <w:rsid w:val="00630180"/>
    <w:rsid w:val="006322F5"/>
    <w:rsid w:val="006328A9"/>
    <w:rsid w:val="0063335E"/>
    <w:rsid w:val="0063344D"/>
    <w:rsid w:val="00640A00"/>
    <w:rsid w:val="00643CE8"/>
    <w:rsid w:val="00644178"/>
    <w:rsid w:val="00645015"/>
    <w:rsid w:val="00645739"/>
    <w:rsid w:val="006461C7"/>
    <w:rsid w:val="006471BC"/>
    <w:rsid w:val="006478C8"/>
    <w:rsid w:val="00647B92"/>
    <w:rsid w:val="00647DE0"/>
    <w:rsid w:val="00647F30"/>
    <w:rsid w:val="00650F7F"/>
    <w:rsid w:val="006519FE"/>
    <w:rsid w:val="00653137"/>
    <w:rsid w:val="00654DFC"/>
    <w:rsid w:val="00656B4E"/>
    <w:rsid w:val="00660DAA"/>
    <w:rsid w:val="00661A04"/>
    <w:rsid w:val="00662A74"/>
    <w:rsid w:val="00663035"/>
    <w:rsid w:val="0066474F"/>
    <w:rsid w:val="006649D2"/>
    <w:rsid w:val="00665843"/>
    <w:rsid w:val="0066702A"/>
    <w:rsid w:val="00671B17"/>
    <w:rsid w:val="00672C41"/>
    <w:rsid w:val="00677FEF"/>
    <w:rsid w:val="00680F57"/>
    <w:rsid w:val="0068135C"/>
    <w:rsid w:val="00681593"/>
    <w:rsid w:val="00682081"/>
    <w:rsid w:val="00682F9A"/>
    <w:rsid w:val="00683DCA"/>
    <w:rsid w:val="00684204"/>
    <w:rsid w:val="0068442C"/>
    <w:rsid w:val="006845B4"/>
    <w:rsid w:val="006937A9"/>
    <w:rsid w:val="00694794"/>
    <w:rsid w:val="00694C59"/>
    <w:rsid w:val="0069566A"/>
    <w:rsid w:val="0069750B"/>
    <w:rsid w:val="0069795D"/>
    <w:rsid w:val="006A226E"/>
    <w:rsid w:val="006A345B"/>
    <w:rsid w:val="006A38B6"/>
    <w:rsid w:val="006A53F4"/>
    <w:rsid w:val="006A568A"/>
    <w:rsid w:val="006A5908"/>
    <w:rsid w:val="006A598D"/>
    <w:rsid w:val="006A5A78"/>
    <w:rsid w:val="006A6039"/>
    <w:rsid w:val="006A72DD"/>
    <w:rsid w:val="006A7CC6"/>
    <w:rsid w:val="006B0038"/>
    <w:rsid w:val="006B0245"/>
    <w:rsid w:val="006B0E4E"/>
    <w:rsid w:val="006B3162"/>
    <w:rsid w:val="006B3835"/>
    <w:rsid w:val="006B3F46"/>
    <w:rsid w:val="006B4FF2"/>
    <w:rsid w:val="006B53A6"/>
    <w:rsid w:val="006B6152"/>
    <w:rsid w:val="006B6EED"/>
    <w:rsid w:val="006B76CE"/>
    <w:rsid w:val="006C09CA"/>
    <w:rsid w:val="006C0BD4"/>
    <w:rsid w:val="006C3878"/>
    <w:rsid w:val="006C42D8"/>
    <w:rsid w:val="006C5D10"/>
    <w:rsid w:val="006C5D72"/>
    <w:rsid w:val="006C6390"/>
    <w:rsid w:val="006D00D4"/>
    <w:rsid w:val="006D145F"/>
    <w:rsid w:val="006D19AF"/>
    <w:rsid w:val="006D205F"/>
    <w:rsid w:val="006D33A3"/>
    <w:rsid w:val="006D42CF"/>
    <w:rsid w:val="006D4F75"/>
    <w:rsid w:val="006D590F"/>
    <w:rsid w:val="006D77D1"/>
    <w:rsid w:val="006E08E4"/>
    <w:rsid w:val="006E0EE2"/>
    <w:rsid w:val="006E1077"/>
    <w:rsid w:val="006E164D"/>
    <w:rsid w:val="006E4357"/>
    <w:rsid w:val="006E48C3"/>
    <w:rsid w:val="006E690B"/>
    <w:rsid w:val="006E7001"/>
    <w:rsid w:val="006E7160"/>
    <w:rsid w:val="006F1881"/>
    <w:rsid w:val="006F2319"/>
    <w:rsid w:val="006F74E7"/>
    <w:rsid w:val="006F7962"/>
    <w:rsid w:val="0070036F"/>
    <w:rsid w:val="00702679"/>
    <w:rsid w:val="00704B80"/>
    <w:rsid w:val="00705C21"/>
    <w:rsid w:val="00710E70"/>
    <w:rsid w:val="00712E11"/>
    <w:rsid w:val="007151D9"/>
    <w:rsid w:val="00715B90"/>
    <w:rsid w:val="00717C96"/>
    <w:rsid w:val="00722729"/>
    <w:rsid w:val="007264D5"/>
    <w:rsid w:val="00726888"/>
    <w:rsid w:val="0072779C"/>
    <w:rsid w:val="007301A1"/>
    <w:rsid w:val="00730E01"/>
    <w:rsid w:val="0073149E"/>
    <w:rsid w:val="00732339"/>
    <w:rsid w:val="00732D94"/>
    <w:rsid w:val="00737B4D"/>
    <w:rsid w:val="00737B6B"/>
    <w:rsid w:val="00737E88"/>
    <w:rsid w:val="00741831"/>
    <w:rsid w:val="00741CBC"/>
    <w:rsid w:val="00742CFC"/>
    <w:rsid w:val="0074441C"/>
    <w:rsid w:val="00745049"/>
    <w:rsid w:val="00751B75"/>
    <w:rsid w:val="0075222B"/>
    <w:rsid w:val="00754410"/>
    <w:rsid w:val="0075750B"/>
    <w:rsid w:val="00757A40"/>
    <w:rsid w:val="0076126B"/>
    <w:rsid w:val="007628A4"/>
    <w:rsid w:val="007639A8"/>
    <w:rsid w:val="007648E1"/>
    <w:rsid w:val="00765F46"/>
    <w:rsid w:val="00765FDB"/>
    <w:rsid w:val="00766996"/>
    <w:rsid w:val="007708DE"/>
    <w:rsid w:val="00770DD2"/>
    <w:rsid w:val="00774428"/>
    <w:rsid w:val="007805A0"/>
    <w:rsid w:val="007810BA"/>
    <w:rsid w:val="00781940"/>
    <w:rsid w:val="007823FD"/>
    <w:rsid w:val="00784563"/>
    <w:rsid w:val="00784EF0"/>
    <w:rsid w:val="00787BF7"/>
    <w:rsid w:val="00791DBA"/>
    <w:rsid w:val="007924D5"/>
    <w:rsid w:val="007924FF"/>
    <w:rsid w:val="00792750"/>
    <w:rsid w:val="00792BC9"/>
    <w:rsid w:val="007934BC"/>
    <w:rsid w:val="007A0EA0"/>
    <w:rsid w:val="007A1E20"/>
    <w:rsid w:val="007A26F9"/>
    <w:rsid w:val="007A6C38"/>
    <w:rsid w:val="007A78A2"/>
    <w:rsid w:val="007B0F95"/>
    <w:rsid w:val="007B1926"/>
    <w:rsid w:val="007B29D8"/>
    <w:rsid w:val="007B3DE5"/>
    <w:rsid w:val="007B4E88"/>
    <w:rsid w:val="007B61AE"/>
    <w:rsid w:val="007B66B1"/>
    <w:rsid w:val="007B6D2B"/>
    <w:rsid w:val="007B73E0"/>
    <w:rsid w:val="007B7A5C"/>
    <w:rsid w:val="007C5D74"/>
    <w:rsid w:val="007C5FF1"/>
    <w:rsid w:val="007C678E"/>
    <w:rsid w:val="007D04CF"/>
    <w:rsid w:val="007D09A3"/>
    <w:rsid w:val="007D3BB8"/>
    <w:rsid w:val="007D47F8"/>
    <w:rsid w:val="007D550B"/>
    <w:rsid w:val="007D59B8"/>
    <w:rsid w:val="007D59BD"/>
    <w:rsid w:val="007D61F5"/>
    <w:rsid w:val="007E01B4"/>
    <w:rsid w:val="007E077B"/>
    <w:rsid w:val="007E0C93"/>
    <w:rsid w:val="007E0D69"/>
    <w:rsid w:val="007E0F79"/>
    <w:rsid w:val="007E187F"/>
    <w:rsid w:val="007E27FA"/>
    <w:rsid w:val="007E3FED"/>
    <w:rsid w:val="007E46C2"/>
    <w:rsid w:val="007E49FC"/>
    <w:rsid w:val="007E5DE6"/>
    <w:rsid w:val="007E6125"/>
    <w:rsid w:val="007E667D"/>
    <w:rsid w:val="007F2C60"/>
    <w:rsid w:val="007F723F"/>
    <w:rsid w:val="00800B45"/>
    <w:rsid w:val="00801BA9"/>
    <w:rsid w:val="00802952"/>
    <w:rsid w:val="0080407B"/>
    <w:rsid w:val="00804704"/>
    <w:rsid w:val="00804F82"/>
    <w:rsid w:val="0080522F"/>
    <w:rsid w:val="00805C1F"/>
    <w:rsid w:val="00806E09"/>
    <w:rsid w:val="00810974"/>
    <w:rsid w:val="008109BA"/>
    <w:rsid w:val="0081387F"/>
    <w:rsid w:val="00813CBE"/>
    <w:rsid w:val="0081502A"/>
    <w:rsid w:val="00816800"/>
    <w:rsid w:val="0081753A"/>
    <w:rsid w:val="0082080F"/>
    <w:rsid w:val="0082196A"/>
    <w:rsid w:val="00823E42"/>
    <w:rsid w:val="00824580"/>
    <w:rsid w:val="00825392"/>
    <w:rsid w:val="008255C4"/>
    <w:rsid w:val="00826E5D"/>
    <w:rsid w:val="008315AF"/>
    <w:rsid w:val="00831880"/>
    <w:rsid w:val="00831A71"/>
    <w:rsid w:val="008348C4"/>
    <w:rsid w:val="00840379"/>
    <w:rsid w:val="008421D5"/>
    <w:rsid w:val="00842781"/>
    <w:rsid w:val="008446BF"/>
    <w:rsid w:val="00845175"/>
    <w:rsid w:val="00850042"/>
    <w:rsid w:val="008500EE"/>
    <w:rsid w:val="008502CB"/>
    <w:rsid w:val="00850D15"/>
    <w:rsid w:val="00851641"/>
    <w:rsid w:val="00851855"/>
    <w:rsid w:val="0085563D"/>
    <w:rsid w:val="008557EF"/>
    <w:rsid w:val="00855849"/>
    <w:rsid w:val="0085585C"/>
    <w:rsid w:val="00855FAA"/>
    <w:rsid w:val="00860676"/>
    <w:rsid w:val="00860ACF"/>
    <w:rsid w:val="00860EC2"/>
    <w:rsid w:val="008610CF"/>
    <w:rsid w:val="008620BF"/>
    <w:rsid w:val="0086408A"/>
    <w:rsid w:val="00864AEA"/>
    <w:rsid w:val="00864F86"/>
    <w:rsid w:val="0086512C"/>
    <w:rsid w:val="008651CB"/>
    <w:rsid w:val="008660AC"/>
    <w:rsid w:val="008705AF"/>
    <w:rsid w:val="008707C4"/>
    <w:rsid w:val="008707D8"/>
    <w:rsid w:val="00870FEB"/>
    <w:rsid w:val="0087114F"/>
    <w:rsid w:val="00872076"/>
    <w:rsid w:val="00872547"/>
    <w:rsid w:val="0087369F"/>
    <w:rsid w:val="0087384E"/>
    <w:rsid w:val="00875C20"/>
    <w:rsid w:val="00877403"/>
    <w:rsid w:val="00880675"/>
    <w:rsid w:val="00882225"/>
    <w:rsid w:val="00882E30"/>
    <w:rsid w:val="00882FD5"/>
    <w:rsid w:val="00884524"/>
    <w:rsid w:val="008851F1"/>
    <w:rsid w:val="0088780A"/>
    <w:rsid w:val="00893200"/>
    <w:rsid w:val="00894DBA"/>
    <w:rsid w:val="00895725"/>
    <w:rsid w:val="00896378"/>
    <w:rsid w:val="00897E55"/>
    <w:rsid w:val="008A0145"/>
    <w:rsid w:val="008A043E"/>
    <w:rsid w:val="008A17BD"/>
    <w:rsid w:val="008A271C"/>
    <w:rsid w:val="008A3505"/>
    <w:rsid w:val="008A3651"/>
    <w:rsid w:val="008A3C3F"/>
    <w:rsid w:val="008A4001"/>
    <w:rsid w:val="008A47A4"/>
    <w:rsid w:val="008A5808"/>
    <w:rsid w:val="008A5F28"/>
    <w:rsid w:val="008A638F"/>
    <w:rsid w:val="008A6C25"/>
    <w:rsid w:val="008A6F79"/>
    <w:rsid w:val="008B2517"/>
    <w:rsid w:val="008B32BA"/>
    <w:rsid w:val="008B4996"/>
    <w:rsid w:val="008B5BB6"/>
    <w:rsid w:val="008B6DA2"/>
    <w:rsid w:val="008B725F"/>
    <w:rsid w:val="008C0CFF"/>
    <w:rsid w:val="008C1C20"/>
    <w:rsid w:val="008C2414"/>
    <w:rsid w:val="008C2AB9"/>
    <w:rsid w:val="008C3871"/>
    <w:rsid w:val="008C46C2"/>
    <w:rsid w:val="008C4CFA"/>
    <w:rsid w:val="008C5A72"/>
    <w:rsid w:val="008C5E53"/>
    <w:rsid w:val="008C7BAF"/>
    <w:rsid w:val="008C7E6B"/>
    <w:rsid w:val="008D1762"/>
    <w:rsid w:val="008D277D"/>
    <w:rsid w:val="008D35A4"/>
    <w:rsid w:val="008D429D"/>
    <w:rsid w:val="008D7122"/>
    <w:rsid w:val="008D7673"/>
    <w:rsid w:val="008E3DC4"/>
    <w:rsid w:val="008E4830"/>
    <w:rsid w:val="008F05CB"/>
    <w:rsid w:val="008F2188"/>
    <w:rsid w:val="008F2959"/>
    <w:rsid w:val="008F5FFD"/>
    <w:rsid w:val="008F61B4"/>
    <w:rsid w:val="008F6DEC"/>
    <w:rsid w:val="009003D4"/>
    <w:rsid w:val="009037EB"/>
    <w:rsid w:val="00905C08"/>
    <w:rsid w:val="00905C72"/>
    <w:rsid w:val="009127EB"/>
    <w:rsid w:val="00912918"/>
    <w:rsid w:val="00913415"/>
    <w:rsid w:val="00913F04"/>
    <w:rsid w:val="009150FE"/>
    <w:rsid w:val="00916A4B"/>
    <w:rsid w:val="00920530"/>
    <w:rsid w:val="00920D33"/>
    <w:rsid w:val="00920DED"/>
    <w:rsid w:val="00923070"/>
    <w:rsid w:val="00924F60"/>
    <w:rsid w:val="009309F2"/>
    <w:rsid w:val="00932401"/>
    <w:rsid w:val="00932AAE"/>
    <w:rsid w:val="009334E4"/>
    <w:rsid w:val="009354E8"/>
    <w:rsid w:val="009355EB"/>
    <w:rsid w:val="00936E4F"/>
    <w:rsid w:val="009448DE"/>
    <w:rsid w:val="0094499C"/>
    <w:rsid w:val="0094553E"/>
    <w:rsid w:val="009461F1"/>
    <w:rsid w:val="00950CFC"/>
    <w:rsid w:val="00953D05"/>
    <w:rsid w:val="00957586"/>
    <w:rsid w:val="00961DC7"/>
    <w:rsid w:val="00964AF9"/>
    <w:rsid w:val="009651C5"/>
    <w:rsid w:val="00967243"/>
    <w:rsid w:val="00970B36"/>
    <w:rsid w:val="00972A46"/>
    <w:rsid w:val="009733E7"/>
    <w:rsid w:val="00975B89"/>
    <w:rsid w:val="00981B19"/>
    <w:rsid w:val="0098231C"/>
    <w:rsid w:val="00986011"/>
    <w:rsid w:val="00987A7F"/>
    <w:rsid w:val="00987D09"/>
    <w:rsid w:val="009906DC"/>
    <w:rsid w:val="00991B47"/>
    <w:rsid w:val="0099494C"/>
    <w:rsid w:val="00994D44"/>
    <w:rsid w:val="00994E73"/>
    <w:rsid w:val="009965A2"/>
    <w:rsid w:val="009965F6"/>
    <w:rsid w:val="00997EB6"/>
    <w:rsid w:val="009A1B14"/>
    <w:rsid w:val="009A1B59"/>
    <w:rsid w:val="009A20BA"/>
    <w:rsid w:val="009A2C4B"/>
    <w:rsid w:val="009A419D"/>
    <w:rsid w:val="009A565E"/>
    <w:rsid w:val="009A6159"/>
    <w:rsid w:val="009A71C8"/>
    <w:rsid w:val="009B082D"/>
    <w:rsid w:val="009B1135"/>
    <w:rsid w:val="009B14E6"/>
    <w:rsid w:val="009B1B58"/>
    <w:rsid w:val="009B1F08"/>
    <w:rsid w:val="009B4A67"/>
    <w:rsid w:val="009B52F7"/>
    <w:rsid w:val="009B5553"/>
    <w:rsid w:val="009B69A1"/>
    <w:rsid w:val="009B6A06"/>
    <w:rsid w:val="009B6E9A"/>
    <w:rsid w:val="009B7090"/>
    <w:rsid w:val="009B7CA6"/>
    <w:rsid w:val="009C13BC"/>
    <w:rsid w:val="009C257C"/>
    <w:rsid w:val="009C2C84"/>
    <w:rsid w:val="009C43AF"/>
    <w:rsid w:val="009D1E75"/>
    <w:rsid w:val="009D2B29"/>
    <w:rsid w:val="009D4713"/>
    <w:rsid w:val="009D51FB"/>
    <w:rsid w:val="009D5683"/>
    <w:rsid w:val="009D700B"/>
    <w:rsid w:val="009D7BC4"/>
    <w:rsid w:val="009E0199"/>
    <w:rsid w:val="009E196B"/>
    <w:rsid w:val="009E33EF"/>
    <w:rsid w:val="009E465D"/>
    <w:rsid w:val="009E6123"/>
    <w:rsid w:val="009F20F2"/>
    <w:rsid w:val="009F3E86"/>
    <w:rsid w:val="009F65E2"/>
    <w:rsid w:val="009F7F1E"/>
    <w:rsid w:val="00A008F4"/>
    <w:rsid w:val="00A00A24"/>
    <w:rsid w:val="00A00CC3"/>
    <w:rsid w:val="00A017E2"/>
    <w:rsid w:val="00A01E24"/>
    <w:rsid w:val="00A03BD6"/>
    <w:rsid w:val="00A04C46"/>
    <w:rsid w:val="00A05928"/>
    <w:rsid w:val="00A05D20"/>
    <w:rsid w:val="00A06287"/>
    <w:rsid w:val="00A064FB"/>
    <w:rsid w:val="00A100AA"/>
    <w:rsid w:val="00A1152F"/>
    <w:rsid w:val="00A12C31"/>
    <w:rsid w:val="00A13639"/>
    <w:rsid w:val="00A1396C"/>
    <w:rsid w:val="00A17A6E"/>
    <w:rsid w:val="00A23C0F"/>
    <w:rsid w:val="00A2400A"/>
    <w:rsid w:val="00A24CF4"/>
    <w:rsid w:val="00A26418"/>
    <w:rsid w:val="00A26923"/>
    <w:rsid w:val="00A279E1"/>
    <w:rsid w:val="00A3581D"/>
    <w:rsid w:val="00A36675"/>
    <w:rsid w:val="00A36F6F"/>
    <w:rsid w:val="00A40DCE"/>
    <w:rsid w:val="00A431C5"/>
    <w:rsid w:val="00A43A82"/>
    <w:rsid w:val="00A4458F"/>
    <w:rsid w:val="00A45A41"/>
    <w:rsid w:val="00A46B6A"/>
    <w:rsid w:val="00A46C82"/>
    <w:rsid w:val="00A46EBA"/>
    <w:rsid w:val="00A50779"/>
    <w:rsid w:val="00A524DA"/>
    <w:rsid w:val="00A52C3F"/>
    <w:rsid w:val="00A53B5A"/>
    <w:rsid w:val="00A543AD"/>
    <w:rsid w:val="00A55625"/>
    <w:rsid w:val="00A55916"/>
    <w:rsid w:val="00A5602C"/>
    <w:rsid w:val="00A56FFA"/>
    <w:rsid w:val="00A57C96"/>
    <w:rsid w:val="00A6137E"/>
    <w:rsid w:val="00A65F72"/>
    <w:rsid w:val="00A6746F"/>
    <w:rsid w:val="00A7192B"/>
    <w:rsid w:val="00A77C3F"/>
    <w:rsid w:val="00A81F82"/>
    <w:rsid w:val="00A82641"/>
    <w:rsid w:val="00A831D5"/>
    <w:rsid w:val="00A838AE"/>
    <w:rsid w:val="00A85816"/>
    <w:rsid w:val="00A859FA"/>
    <w:rsid w:val="00A90E85"/>
    <w:rsid w:val="00A92874"/>
    <w:rsid w:val="00A94553"/>
    <w:rsid w:val="00A946E5"/>
    <w:rsid w:val="00A97D87"/>
    <w:rsid w:val="00AA0D3B"/>
    <w:rsid w:val="00AA23F7"/>
    <w:rsid w:val="00AA2D65"/>
    <w:rsid w:val="00AA3EB8"/>
    <w:rsid w:val="00AA6113"/>
    <w:rsid w:val="00AB0CD6"/>
    <w:rsid w:val="00AB1970"/>
    <w:rsid w:val="00AB19CE"/>
    <w:rsid w:val="00AB1AAC"/>
    <w:rsid w:val="00AB28AE"/>
    <w:rsid w:val="00AB2936"/>
    <w:rsid w:val="00AB347C"/>
    <w:rsid w:val="00AB492D"/>
    <w:rsid w:val="00AB5AC5"/>
    <w:rsid w:val="00AB6383"/>
    <w:rsid w:val="00AB6D91"/>
    <w:rsid w:val="00AB73D2"/>
    <w:rsid w:val="00AB7DDE"/>
    <w:rsid w:val="00AC134F"/>
    <w:rsid w:val="00AC5C83"/>
    <w:rsid w:val="00AD1C1D"/>
    <w:rsid w:val="00AD1D10"/>
    <w:rsid w:val="00AD37F6"/>
    <w:rsid w:val="00AD5044"/>
    <w:rsid w:val="00AD5275"/>
    <w:rsid w:val="00AE0741"/>
    <w:rsid w:val="00AE14AA"/>
    <w:rsid w:val="00AE2357"/>
    <w:rsid w:val="00AE26FA"/>
    <w:rsid w:val="00AE2CA1"/>
    <w:rsid w:val="00AE40BE"/>
    <w:rsid w:val="00AE58D2"/>
    <w:rsid w:val="00AE6D26"/>
    <w:rsid w:val="00AE6D54"/>
    <w:rsid w:val="00AE72B1"/>
    <w:rsid w:val="00AE79EC"/>
    <w:rsid w:val="00AE7AB9"/>
    <w:rsid w:val="00AE7E19"/>
    <w:rsid w:val="00AF01BC"/>
    <w:rsid w:val="00AF1B1A"/>
    <w:rsid w:val="00AF1E7B"/>
    <w:rsid w:val="00AF2BF5"/>
    <w:rsid w:val="00AF34AA"/>
    <w:rsid w:val="00AF36D8"/>
    <w:rsid w:val="00AF3780"/>
    <w:rsid w:val="00AF48C7"/>
    <w:rsid w:val="00AF6620"/>
    <w:rsid w:val="00AF7A9B"/>
    <w:rsid w:val="00B02F2E"/>
    <w:rsid w:val="00B036CF"/>
    <w:rsid w:val="00B0450A"/>
    <w:rsid w:val="00B0654F"/>
    <w:rsid w:val="00B06F36"/>
    <w:rsid w:val="00B07BAC"/>
    <w:rsid w:val="00B106FE"/>
    <w:rsid w:val="00B11809"/>
    <w:rsid w:val="00B12E02"/>
    <w:rsid w:val="00B1760E"/>
    <w:rsid w:val="00B20E81"/>
    <w:rsid w:val="00B2165F"/>
    <w:rsid w:val="00B21A11"/>
    <w:rsid w:val="00B25D6F"/>
    <w:rsid w:val="00B26AF1"/>
    <w:rsid w:val="00B30EE7"/>
    <w:rsid w:val="00B310C0"/>
    <w:rsid w:val="00B325FE"/>
    <w:rsid w:val="00B35372"/>
    <w:rsid w:val="00B42D95"/>
    <w:rsid w:val="00B443B1"/>
    <w:rsid w:val="00B44565"/>
    <w:rsid w:val="00B4714D"/>
    <w:rsid w:val="00B51648"/>
    <w:rsid w:val="00B51822"/>
    <w:rsid w:val="00B51D31"/>
    <w:rsid w:val="00B520D7"/>
    <w:rsid w:val="00B521E4"/>
    <w:rsid w:val="00B55BDB"/>
    <w:rsid w:val="00B5695A"/>
    <w:rsid w:val="00B573BD"/>
    <w:rsid w:val="00B606C7"/>
    <w:rsid w:val="00B60818"/>
    <w:rsid w:val="00B6100D"/>
    <w:rsid w:val="00B61067"/>
    <w:rsid w:val="00B62759"/>
    <w:rsid w:val="00B630F9"/>
    <w:rsid w:val="00B667D7"/>
    <w:rsid w:val="00B66FC8"/>
    <w:rsid w:val="00B7017A"/>
    <w:rsid w:val="00B70742"/>
    <w:rsid w:val="00B71B76"/>
    <w:rsid w:val="00B71EB2"/>
    <w:rsid w:val="00B724C8"/>
    <w:rsid w:val="00B72E83"/>
    <w:rsid w:val="00B744A3"/>
    <w:rsid w:val="00B74668"/>
    <w:rsid w:val="00B75197"/>
    <w:rsid w:val="00B75559"/>
    <w:rsid w:val="00B7594A"/>
    <w:rsid w:val="00B82BE1"/>
    <w:rsid w:val="00B8305A"/>
    <w:rsid w:val="00B83B24"/>
    <w:rsid w:val="00B83DA0"/>
    <w:rsid w:val="00B8566B"/>
    <w:rsid w:val="00B85B81"/>
    <w:rsid w:val="00B865BE"/>
    <w:rsid w:val="00B86669"/>
    <w:rsid w:val="00B870CD"/>
    <w:rsid w:val="00B8727C"/>
    <w:rsid w:val="00B9035C"/>
    <w:rsid w:val="00B9539C"/>
    <w:rsid w:val="00B9547E"/>
    <w:rsid w:val="00B95EE5"/>
    <w:rsid w:val="00B96096"/>
    <w:rsid w:val="00B9677F"/>
    <w:rsid w:val="00BA0839"/>
    <w:rsid w:val="00BA1F3A"/>
    <w:rsid w:val="00BA2A6B"/>
    <w:rsid w:val="00BA46F1"/>
    <w:rsid w:val="00BB01ED"/>
    <w:rsid w:val="00BB30A2"/>
    <w:rsid w:val="00BB5FAD"/>
    <w:rsid w:val="00BB7FB8"/>
    <w:rsid w:val="00BC1303"/>
    <w:rsid w:val="00BC1312"/>
    <w:rsid w:val="00BC755F"/>
    <w:rsid w:val="00BC78A5"/>
    <w:rsid w:val="00BD0B3B"/>
    <w:rsid w:val="00BD0B93"/>
    <w:rsid w:val="00BE0045"/>
    <w:rsid w:val="00BE00CE"/>
    <w:rsid w:val="00BE12C1"/>
    <w:rsid w:val="00BE48A1"/>
    <w:rsid w:val="00BE6A2B"/>
    <w:rsid w:val="00BE6D4F"/>
    <w:rsid w:val="00BE759F"/>
    <w:rsid w:val="00BF129E"/>
    <w:rsid w:val="00BF2673"/>
    <w:rsid w:val="00BF27A2"/>
    <w:rsid w:val="00BF3E35"/>
    <w:rsid w:val="00BF4B6D"/>
    <w:rsid w:val="00BF572C"/>
    <w:rsid w:val="00BF65F6"/>
    <w:rsid w:val="00C00629"/>
    <w:rsid w:val="00C0225A"/>
    <w:rsid w:val="00C026A5"/>
    <w:rsid w:val="00C02E54"/>
    <w:rsid w:val="00C04B7B"/>
    <w:rsid w:val="00C04BA6"/>
    <w:rsid w:val="00C0527B"/>
    <w:rsid w:val="00C07049"/>
    <w:rsid w:val="00C078B3"/>
    <w:rsid w:val="00C110F0"/>
    <w:rsid w:val="00C11826"/>
    <w:rsid w:val="00C11A26"/>
    <w:rsid w:val="00C127A6"/>
    <w:rsid w:val="00C128D5"/>
    <w:rsid w:val="00C14AA5"/>
    <w:rsid w:val="00C16900"/>
    <w:rsid w:val="00C2241C"/>
    <w:rsid w:val="00C25962"/>
    <w:rsid w:val="00C259F8"/>
    <w:rsid w:val="00C30197"/>
    <w:rsid w:val="00C303E5"/>
    <w:rsid w:val="00C30819"/>
    <w:rsid w:val="00C3336A"/>
    <w:rsid w:val="00C34ACD"/>
    <w:rsid w:val="00C37506"/>
    <w:rsid w:val="00C376E8"/>
    <w:rsid w:val="00C40984"/>
    <w:rsid w:val="00C42FD8"/>
    <w:rsid w:val="00C43682"/>
    <w:rsid w:val="00C4658E"/>
    <w:rsid w:val="00C46643"/>
    <w:rsid w:val="00C5026C"/>
    <w:rsid w:val="00C5683A"/>
    <w:rsid w:val="00C60AC7"/>
    <w:rsid w:val="00C60F4A"/>
    <w:rsid w:val="00C62C85"/>
    <w:rsid w:val="00C640BC"/>
    <w:rsid w:val="00C65003"/>
    <w:rsid w:val="00C665C0"/>
    <w:rsid w:val="00C67665"/>
    <w:rsid w:val="00C70307"/>
    <w:rsid w:val="00C70A6A"/>
    <w:rsid w:val="00C730B6"/>
    <w:rsid w:val="00C73639"/>
    <w:rsid w:val="00C778D9"/>
    <w:rsid w:val="00C77B1D"/>
    <w:rsid w:val="00C805D5"/>
    <w:rsid w:val="00C83ACB"/>
    <w:rsid w:val="00C8471C"/>
    <w:rsid w:val="00C850AC"/>
    <w:rsid w:val="00C85B88"/>
    <w:rsid w:val="00C877C3"/>
    <w:rsid w:val="00C8782D"/>
    <w:rsid w:val="00C914B0"/>
    <w:rsid w:val="00C917D0"/>
    <w:rsid w:val="00C9222D"/>
    <w:rsid w:val="00C92CE3"/>
    <w:rsid w:val="00C95E33"/>
    <w:rsid w:val="00C96724"/>
    <w:rsid w:val="00C97119"/>
    <w:rsid w:val="00C9764D"/>
    <w:rsid w:val="00C97779"/>
    <w:rsid w:val="00CA07A8"/>
    <w:rsid w:val="00CA20E6"/>
    <w:rsid w:val="00CA3E02"/>
    <w:rsid w:val="00CA67BF"/>
    <w:rsid w:val="00CA7125"/>
    <w:rsid w:val="00CA72AF"/>
    <w:rsid w:val="00CA7306"/>
    <w:rsid w:val="00CA7ED7"/>
    <w:rsid w:val="00CB0145"/>
    <w:rsid w:val="00CB0B52"/>
    <w:rsid w:val="00CB0C1F"/>
    <w:rsid w:val="00CB0E15"/>
    <w:rsid w:val="00CB107E"/>
    <w:rsid w:val="00CB1C85"/>
    <w:rsid w:val="00CB219E"/>
    <w:rsid w:val="00CB5A55"/>
    <w:rsid w:val="00CB5B1F"/>
    <w:rsid w:val="00CB6DE8"/>
    <w:rsid w:val="00CB6F02"/>
    <w:rsid w:val="00CB72E8"/>
    <w:rsid w:val="00CB7EC4"/>
    <w:rsid w:val="00CC1F1D"/>
    <w:rsid w:val="00CC4134"/>
    <w:rsid w:val="00CC42AC"/>
    <w:rsid w:val="00CC5B39"/>
    <w:rsid w:val="00CC778D"/>
    <w:rsid w:val="00CD0DDE"/>
    <w:rsid w:val="00CD1F81"/>
    <w:rsid w:val="00CD4881"/>
    <w:rsid w:val="00CD5FE3"/>
    <w:rsid w:val="00CD637A"/>
    <w:rsid w:val="00CD79BB"/>
    <w:rsid w:val="00CE0917"/>
    <w:rsid w:val="00CE0EE4"/>
    <w:rsid w:val="00CE26BE"/>
    <w:rsid w:val="00CE416D"/>
    <w:rsid w:val="00CE4BFD"/>
    <w:rsid w:val="00CE6A1F"/>
    <w:rsid w:val="00CE731A"/>
    <w:rsid w:val="00CE7E20"/>
    <w:rsid w:val="00CF0CB5"/>
    <w:rsid w:val="00CF255F"/>
    <w:rsid w:val="00CF392F"/>
    <w:rsid w:val="00CF39C2"/>
    <w:rsid w:val="00CF6CBE"/>
    <w:rsid w:val="00D025FF"/>
    <w:rsid w:val="00D046C4"/>
    <w:rsid w:val="00D04CA5"/>
    <w:rsid w:val="00D05C01"/>
    <w:rsid w:val="00D05C56"/>
    <w:rsid w:val="00D07258"/>
    <w:rsid w:val="00D119AB"/>
    <w:rsid w:val="00D11E3D"/>
    <w:rsid w:val="00D1402E"/>
    <w:rsid w:val="00D150EF"/>
    <w:rsid w:val="00D17F8E"/>
    <w:rsid w:val="00D256A8"/>
    <w:rsid w:val="00D35ACF"/>
    <w:rsid w:val="00D36577"/>
    <w:rsid w:val="00D36F4B"/>
    <w:rsid w:val="00D37392"/>
    <w:rsid w:val="00D377B7"/>
    <w:rsid w:val="00D41725"/>
    <w:rsid w:val="00D46535"/>
    <w:rsid w:val="00D46DD4"/>
    <w:rsid w:val="00D4745C"/>
    <w:rsid w:val="00D475F0"/>
    <w:rsid w:val="00D477E8"/>
    <w:rsid w:val="00D4795A"/>
    <w:rsid w:val="00D50705"/>
    <w:rsid w:val="00D528BF"/>
    <w:rsid w:val="00D54C8C"/>
    <w:rsid w:val="00D553CF"/>
    <w:rsid w:val="00D55944"/>
    <w:rsid w:val="00D55BF9"/>
    <w:rsid w:val="00D56AD0"/>
    <w:rsid w:val="00D60440"/>
    <w:rsid w:val="00D62049"/>
    <w:rsid w:val="00D62193"/>
    <w:rsid w:val="00D6270D"/>
    <w:rsid w:val="00D63D3E"/>
    <w:rsid w:val="00D63D6F"/>
    <w:rsid w:val="00D65F06"/>
    <w:rsid w:val="00D66610"/>
    <w:rsid w:val="00D705A5"/>
    <w:rsid w:val="00D7403F"/>
    <w:rsid w:val="00D76060"/>
    <w:rsid w:val="00D80444"/>
    <w:rsid w:val="00D80C40"/>
    <w:rsid w:val="00D827B2"/>
    <w:rsid w:val="00D84E40"/>
    <w:rsid w:val="00D8581E"/>
    <w:rsid w:val="00D85C4D"/>
    <w:rsid w:val="00D90461"/>
    <w:rsid w:val="00D90BA1"/>
    <w:rsid w:val="00D92880"/>
    <w:rsid w:val="00D94E0F"/>
    <w:rsid w:val="00D951C7"/>
    <w:rsid w:val="00D9562B"/>
    <w:rsid w:val="00DA3DB1"/>
    <w:rsid w:val="00DA4D4F"/>
    <w:rsid w:val="00DA55C0"/>
    <w:rsid w:val="00DA59B8"/>
    <w:rsid w:val="00DA7C6F"/>
    <w:rsid w:val="00DB2BC2"/>
    <w:rsid w:val="00DB4454"/>
    <w:rsid w:val="00DB480C"/>
    <w:rsid w:val="00DB4A7A"/>
    <w:rsid w:val="00DB634E"/>
    <w:rsid w:val="00DB74E2"/>
    <w:rsid w:val="00DB7C50"/>
    <w:rsid w:val="00DC0435"/>
    <w:rsid w:val="00DC0FA2"/>
    <w:rsid w:val="00DC1942"/>
    <w:rsid w:val="00DC29FF"/>
    <w:rsid w:val="00DC35C2"/>
    <w:rsid w:val="00DC4851"/>
    <w:rsid w:val="00DD052E"/>
    <w:rsid w:val="00DD178F"/>
    <w:rsid w:val="00DD1A19"/>
    <w:rsid w:val="00DD1A2C"/>
    <w:rsid w:val="00DD5282"/>
    <w:rsid w:val="00DD60EB"/>
    <w:rsid w:val="00DE0574"/>
    <w:rsid w:val="00DE156B"/>
    <w:rsid w:val="00DE161B"/>
    <w:rsid w:val="00DE3190"/>
    <w:rsid w:val="00DE3E26"/>
    <w:rsid w:val="00DE554B"/>
    <w:rsid w:val="00DE590D"/>
    <w:rsid w:val="00DE7CFE"/>
    <w:rsid w:val="00DE7FD6"/>
    <w:rsid w:val="00DF1BFB"/>
    <w:rsid w:val="00DF4389"/>
    <w:rsid w:val="00E00433"/>
    <w:rsid w:val="00E042C2"/>
    <w:rsid w:val="00E044AB"/>
    <w:rsid w:val="00E10363"/>
    <w:rsid w:val="00E162AC"/>
    <w:rsid w:val="00E171B4"/>
    <w:rsid w:val="00E21032"/>
    <w:rsid w:val="00E21DE5"/>
    <w:rsid w:val="00E23C51"/>
    <w:rsid w:val="00E25580"/>
    <w:rsid w:val="00E26FAA"/>
    <w:rsid w:val="00E27534"/>
    <w:rsid w:val="00E27A4F"/>
    <w:rsid w:val="00E330B2"/>
    <w:rsid w:val="00E34F31"/>
    <w:rsid w:val="00E36498"/>
    <w:rsid w:val="00E40A41"/>
    <w:rsid w:val="00E41FF4"/>
    <w:rsid w:val="00E438EB"/>
    <w:rsid w:val="00E43B27"/>
    <w:rsid w:val="00E45E53"/>
    <w:rsid w:val="00E51284"/>
    <w:rsid w:val="00E520A4"/>
    <w:rsid w:val="00E56490"/>
    <w:rsid w:val="00E57002"/>
    <w:rsid w:val="00E5768E"/>
    <w:rsid w:val="00E57CE9"/>
    <w:rsid w:val="00E60EAD"/>
    <w:rsid w:val="00E61ABF"/>
    <w:rsid w:val="00E62816"/>
    <w:rsid w:val="00E65CFD"/>
    <w:rsid w:val="00E65FEF"/>
    <w:rsid w:val="00E66813"/>
    <w:rsid w:val="00E701DD"/>
    <w:rsid w:val="00E7029C"/>
    <w:rsid w:val="00E707DF"/>
    <w:rsid w:val="00E70D82"/>
    <w:rsid w:val="00E72291"/>
    <w:rsid w:val="00E72435"/>
    <w:rsid w:val="00E72B26"/>
    <w:rsid w:val="00E73381"/>
    <w:rsid w:val="00E73D65"/>
    <w:rsid w:val="00E76971"/>
    <w:rsid w:val="00E80806"/>
    <w:rsid w:val="00E80EB9"/>
    <w:rsid w:val="00E8423C"/>
    <w:rsid w:val="00E86B33"/>
    <w:rsid w:val="00E8759A"/>
    <w:rsid w:val="00E87C71"/>
    <w:rsid w:val="00E911A4"/>
    <w:rsid w:val="00E929AE"/>
    <w:rsid w:val="00E92AC4"/>
    <w:rsid w:val="00E93E36"/>
    <w:rsid w:val="00E9444C"/>
    <w:rsid w:val="00E958B1"/>
    <w:rsid w:val="00E95FA7"/>
    <w:rsid w:val="00EA07E2"/>
    <w:rsid w:val="00EA0DBB"/>
    <w:rsid w:val="00EA189B"/>
    <w:rsid w:val="00EA2391"/>
    <w:rsid w:val="00EA311D"/>
    <w:rsid w:val="00EA5BAD"/>
    <w:rsid w:val="00EA5C8A"/>
    <w:rsid w:val="00EA64D6"/>
    <w:rsid w:val="00EA66BC"/>
    <w:rsid w:val="00EB183D"/>
    <w:rsid w:val="00EB291B"/>
    <w:rsid w:val="00EB5638"/>
    <w:rsid w:val="00EB59CA"/>
    <w:rsid w:val="00EB7F95"/>
    <w:rsid w:val="00EC0FB2"/>
    <w:rsid w:val="00EC127B"/>
    <w:rsid w:val="00EC264A"/>
    <w:rsid w:val="00EC3ABB"/>
    <w:rsid w:val="00EC5A45"/>
    <w:rsid w:val="00EC6FE4"/>
    <w:rsid w:val="00EC7463"/>
    <w:rsid w:val="00ED0108"/>
    <w:rsid w:val="00ED07B4"/>
    <w:rsid w:val="00ED1EC9"/>
    <w:rsid w:val="00ED3AE6"/>
    <w:rsid w:val="00ED780E"/>
    <w:rsid w:val="00ED7E75"/>
    <w:rsid w:val="00EE13FB"/>
    <w:rsid w:val="00EE2E93"/>
    <w:rsid w:val="00EE5301"/>
    <w:rsid w:val="00EE6356"/>
    <w:rsid w:val="00EE6842"/>
    <w:rsid w:val="00EF06C8"/>
    <w:rsid w:val="00EF0F99"/>
    <w:rsid w:val="00EF4349"/>
    <w:rsid w:val="00EF49DA"/>
    <w:rsid w:val="00EF7986"/>
    <w:rsid w:val="00EF7EF3"/>
    <w:rsid w:val="00F00AF1"/>
    <w:rsid w:val="00F0258D"/>
    <w:rsid w:val="00F02EEB"/>
    <w:rsid w:val="00F0340D"/>
    <w:rsid w:val="00F03610"/>
    <w:rsid w:val="00F058DC"/>
    <w:rsid w:val="00F122F7"/>
    <w:rsid w:val="00F13A01"/>
    <w:rsid w:val="00F1627C"/>
    <w:rsid w:val="00F162C0"/>
    <w:rsid w:val="00F2398D"/>
    <w:rsid w:val="00F32DF5"/>
    <w:rsid w:val="00F33080"/>
    <w:rsid w:val="00F354F5"/>
    <w:rsid w:val="00F35B56"/>
    <w:rsid w:val="00F37753"/>
    <w:rsid w:val="00F37876"/>
    <w:rsid w:val="00F412BD"/>
    <w:rsid w:val="00F41F4F"/>
    <w:rsid w:val="00F42CC5"/>
    <w:rsid w:val="00F42E6E"/>
    <w:rsid w:val="00F44381"/>
    <w:rsid w:val="00F4482A"/>
    <w:rsid w:val="00F4612D"/>
    <w:rsid w:val="00F47F72"/>
    <w:rsid w:val="00F50AEC"/>
    <w:rsid w:val="00F524E6"/>
    <w:rsid w:val="00F5461E"/>
    <w:rsid w:val="00F60E4E"/>
    <w:rsid w:val="00F62D83"/>
    <w:rsid w:val="00F645AB"/>
    <w:rsid w:val="00F65279"/>
    <w:rsid w:val="00F70BFB"/>
    <w:rsid w:val="00F749DF"/>
    <w:rsid w:val="00F75450"/>
    <w:rsid w:val="00F758D4"/>
    <w:rsid w:val="00F76B54"/>
    <w:rsid w:val="00F77422"/>
    <w:rsid w:val="00F80551"/>
    <w:rsid w:val="00F80E0C"/>
    <w:rsid w:val="00F811A0"/>
    <w:rsid w:val="00F8174C"/>
    <w:rsid w:val="00F82090"/>
    <w:rsid w:val="00F82412"/>
    <w:rsid w:val="00F86440"/>
    <w:rsid w:val="00F9159C"/>
    <w:rsid w:val="00F91852"/>
    <w:rsid w:val="00F92340"/>
    <w:rsid w:val="00F9268F"/>
    <w:rsid w:val="00F94A38"/>
    <w:rsid w:val="00F95605"/>
    <w:rsid w:val="00F96533"/>
    <w:rsid w:val="00FA32AE"/>
    <w:rsid w:val="00FA5B14"/>
    <w:rsid w:val="00FA5D52"/>
    <w:rsid w:val="00FA6FF7"/>
    <w:rsid w:val="00FB0207"/>
    <w:rsid w:val="00FB3525"/>
    <w:rsid w:val="00FB4DCC"/>
    <w:rsid w:val="00FB50C6"/>
    <w:rsid w:val="00FC379C"/>
    <w:rsid w:val="00FC4177"/>
    <w:rsid w:val="00FC466B"/>
    <w:rsid w:val="00FC46D6"/>
    <w:rsid w:val="00FC48EF"/>
    <w:rsid w:val="00FC7EF2"/>
    <w:rsid w:val="00FD04CF"/>
    <w:rsid w:val="00FD0B3A"/>
    <w:rsid w:val="00FD1A9E"/>
    <w:rsid w:val="00FD2FAE"/>
    <w:rsid w:val="00FD4ED6"/>
    <w:rsid w:val="00FD56B4"/>
    <w:rsid w:val="00FD5DCA"/>
    <w:rsid w:val="00FD6F47"/>
    <w:rsid w:val="00FD701A"/>
    <w:rsid w:val="00FE176F"/>
    <w:rsid w:val="00FE3AD3"/>
    <w:rsid w:val="00FE448A"/>
    <w:rsid w:val="00FE4BAF"/>
    <w:rsid w:val="00FE4F20"/>
    <w:rsid w:val="00FE5B16"/>
    <w:rsid w:val="00FE5D9B"/>
    <w:rsid w:val="00FE626F"/>
    <w:rsid w:val="00FE77E0"/>
    <w:rsid w:val="00FF012F"/>
    <w:rsid w:val="00FF24F7"/>
    <w:rsid w:val="00FF24FA"/>
    <w:rsid w:val="00FF2BDC"/>
    <w:rsid w:val="00FF3326"/>
    <w:rsid w:val="00FF4248"/>
    <w:rsid w:val="00FF4479"/>
    <w:rsid w:val="00FF7E3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5E695E"/>
  <w15:docId w15:val="{42C4B318-907F-49C9-8A23-F815B570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E8E"/>
    <w:rPr>
      <w:rFonts w:ascii="Tahoma" w:hAnsi="Tahoma"/>
      <w:sz w:val="28"/>
    </w:rPr>
  </w:style>
  <w:style w:type="paragraph" w:styleId="Heading1">
    <w:name w:val="heading 1"/>
    <w:basedOn w:val="Normal"/>
    <w:next w:val="Normal"/>
    <w:link w:val="Heading1Char"/>
    <w:uiPriority w:val="9"/>
    <w:qFormat/>
    <w:rsid w:val="00B520D7"/>
    <w:pPr>
      <w:keepNext/>
      <w:keepLines/>
      <w:spacing w:before="240" w:after="0"/>
      <w:outlineLvl w:val="0"/>
    </w:pPr>
    <w:rPr>
      <w:rFonts w:eastAsiaTheme="majorEastAsia" w:cstheme="majorBidi"/>
      <w:b/>
      <w:color w:val="FF0000"/>
      <w:sz w:val="48"/>
      <w:szCs w:val="32"/>
    </w:rPr>
  </w:style>
  <w:style w:type="paragraph" w:styleId="Heading2">
    <w:name w:val="heading 2"/>
    <w:basedOn w:val="Normal"/>
    <w:next w:val="Normal"/>
    <w:link w:val="Heading2Char"/>
    <w:uiPriority w:val="9"/>
    <w:unhideWhenUsed/>
    <w:qFormat/>
    <w:rsid w:val="00B520D7"/>
    <w:pPr>
      <w:keepNext/>
      <w:keepLines/>
      <w:spacing w:before="40" w:after="0"/>
      <w:outlineLvl w:val="1"/>
    </w:pPr>
    <w:rPr>
      <w:rFonts w:eastAsiaTheme="majorEastAsia" w:cstheme="majorBidi"/>
      <w:b/>
      <w:color w:val="008000"/>
      <w:sz w:val="36"/>
      <w:szCs w:val="26"/>
    </w:rPr>
  </w:style>
  <w:style w:type="paragraph" w:styleId="Heading3">
    <w:name w:val="heading 3"/>
    <w:basedOn w:val="Normal"/>
    <w:next w:val="Normal"/>
    <w:link w:val="Heading3Char"/>
    <w:uiPriority w:val="9"/>
    <w:unhideWhenUsed/>
    <w:qFormat/>
    <w:rsid w:val="00C778D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7F3E"/>
    <w:pPr>
      <w:ind w:left="720"/>
      <w:contextualSpacing/>
    </w:pPr>
  </w:style>
  <w:style w:type="character" w:styleId="Hyperlink">
    <w:name w:val="Hyperlink"/>
    <w:basedOn w:val="DefaultParagraphFont"/>
    <w:uiPriority w:val="99"/>
    <w:unhideWhenUsed/>
    <w:rsid w:val="004C4906"/>
    <w:rPr>
      <w:color w:val="0563C1" w:themeColor="hyperlink"/>
      <w:u w:val="single"/>
    </w:rPr>
  </w:style>
  <w:style w:type="character" w:customStyle="1" w:styleId="UnresolvedMention1">
    <w:name w:val="Unresolved Mention1"/>
    <w:basedOn w:val="DefaultParagraphFont"/>
    <w:uiPriority w:val="99"/>
    <w:semiHidden/>
    <w:unhideWhenUsed/>
    <w:rsid w:val="004C4906"/>
    <w:rPr>
      <w:color w:val="605E5C"/>
      <w:shd w:val="clear" w:color="auto" w:fill="E1DFDD"/>
    </w:rPr>
  </w:style>
  <w:style w:type="table" w:styleId="TableGrid">
    <w:name w:val="Table Grid"/>
    <w:basedOn w:val="TableNormal"/>
    <w:uiPriority w:val="39"/>
    <w:rsid w:val="000B08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025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258D"/>
    <w:rPr>
      <w:rFonts w:ascii="Segoe UI" w:hAnsi="Segoe UI" w:cs="Segoe UI"/>
      <w:sz w:val="18"/>
      <w:szCs w:val="18"/>
    </w:rPr>
  </w:style>
  <w:style w:type="character" w:customStyle="1" w:styleId="UnresolvedMention2">
    <w:name w:val="Unresolved Mention2"/>
    <w:basedOn w:val="DefaultParagraphFont"/>
    <w:uiPriority w:val="99"/>
    <w:semiHidden/>
    <w:unhideWhenUsed/>
    <w:rsid w:val="00FF7E3E"/>
    <w:rPr>
      <w:color w:val="605E5C"/>
      <w:shd w:val="clear" w:color="auto" w:fill="E1DFDD"/>
    </w:rPr>
  </w:style>
  <w:style w:type="character" w:customStyle="1" w:styleId="UnresolvedMention3">
    <w:name w:val="Unresolved Mention3"/>
    <w:basedOn w:val="DefaultParagraphFont"/>
    <w:uiPriority w:val="99"/>
    <w:semiHidden/>
    <w:unhideWhenUsed/>
    <w:rsid w:val="00190A9C"/>
    <w:rPr>
      <w:color w:val="605E5C"/>
      <w:shd w:val="clear" w:color="auto" w:fill="E1DFDD"/>
    </w:rPr>
  </w:style>
  <w:style w:type="character" w:customStyle="1" w:styleId="UnresolvedMention4">
    <w:name w:val="Unresolved Mention4"/>
    <w:basedOn w:val="DefaultParagraphFont"/>
    <w:uiPriority w:val="99"/>
    <w:semiHidden/>
    <w:unhideWhenUsed/>
    <w:rsid w:val="00AD5044"/>
    <w:rPr>
      <w:color w:val="605E5C"/>
      <w:shd w:val="clear" w:color="auto" w:fill="E1DFDD"/>
    </w:rPr>
  </w:style>
  <w:style w:type="character" w:styleId="FollowedHyperlink">
    <w:name w:val="FollowedHyperlink"/>
    <w:basedOn w:val="DefaultParagraphFont"/>
    <w:uiPriority w:val="99"/>
    <w:semiHidden/>
    <w:unhideWhenUsed/>
    <w:rsid w:val="00961DC7"/>
    <w:rPr>
      <w:color w:val="954F72" w:themeColor="followedHyperlink"/>
      <w:u w:val="single"/>
    </w:rPr>
  </w:style>
  <w:style w:type="paragraph" w:customStyle="1" w:styleId="Default">
    <w:name w:val="Default"/>
    <w:rsid w:val="00251E84"/>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A3667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aliases w:val="Footnote Text Char2,Footnote Text Char Char1,Footnote Text Char1 Char Char,Footnote Text Char Char Char Char,Footnote Text Char2 Char1 Char Char Char,Footnote Text Char1 Char1 Char1 Char Char Char,Char,FußnotentexteGov4All,Footnote text"/>
    <w:basedOn w:val="Normal"/>
    <w:link w:val="FootnoteTextChar"/>
    <w:uiPriority w:val="99"/>
    <w:unhideWhenUsed/>
    <w:rsid w:val="00C665C0"/>
    <w:pPr>
      <w:spacing w:after="0" w:line="240" w:lineRule="auto"/>
    </w:pPr>
    <w:rPr>
      <w:sz w:val="20"/>
      <w:szCs w:val="20"/>
    </w:rPr>
  </w:style>
  <w:style w:type="character" w:customStyle="1" w:styleId="FootnoteTextChar">
    <w:name w:val="Footnote Text Char"/>
    <w:aliases w:val="Footnote Text Char2 Char,Footnote Text Char Char1 Char,Footnote Text Char1 Char Char Char,Footnote Text Char Char Char Char Char,Footnote Text Char2 Char1 Char Char Char Char,Footnote Text Char1 Char1 Char1 Char Char Char Char"/>
    <w:basedOn w:val="DefaultParagraphFont"/>
    <w:link w:val="FootnoteText"/>
    <w:uiPriority w:val="99"/>
    <w:rsid w:val="00C665C0"/>
    <w:rPr>
      <w:rFonts w:ascii="Arial" w:hAnsi="Arial"/>
      <w:sz w:val="20"/>
      <w:szCs w:val="20"/>
    </w:rPr>
  </w:style>
  <w:style w:type="character" w:styleId="FootnoteReference">
    <w:name w:val="footnote reference"/>
    <w:aliases w:val="Footnote symbol"/>
    <w:basedOn w:val="DefaultParagraphFont"/>
    <w:uiPriority w:val="99"/>
    <w:unhideWhenUsed/>
    <w:rsid w:val="00C665C0"/>
    <w:rPr>
      <w:vertAlign w:val="superscript"/>
    </w:rPr>
  </w:style>
  <w:style w:type="paragraph" w:styleId="Header">
    <w:name w:val="header"/>
    <w:basedOn w:val="Normal"/>
    <w:link w:val="HeaderChar"/>
    <w:uiPriority w:val="99"/>
    <w:unhideWhenUsed/>
    <w:rsid w:val="00CB01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145"/>
    <w:rPr>
      <w:rFonts w:ascii="Arial" w:hAnsi="Arial"/>
      <w:sz w:val="28"/>
    </w:rPr>
  </w:style>
  <w:style w:type="paragraph" w:styleId="Footer">
    <w:name w:val="footer"/>
    <w:basedOn w:val="Normal"/>
    <w:link w:val="FooterChar"/>
    <w:uiPriority w:val="99"/>
    <w:unhideWhenUsed/>
    <w:rsid w:val="00CB01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145"/>
    <w:rPr>
      <w:rFonts w:ascii="Arial" w:hAnsi="Arial"/>
      <w:sz w:val="28"/>
    </w:rPr>
  </w:style>
  <w:style w:type="character" w:customStyle="1" w:styleId="UnresolvedMention5">
    <w:name w:val="Unresolved Mention5"/>
    <w:basedOn w:val="DefaultParagraphFont"/>
    <w:uiPriority w:val="99"/>
    <w:semiHidden/>
    <w:unhideWhenUsed/>
    <w:rsid w:val="00D477E8"/>
    <w:rPr>
      <w:color w:val="605E5C"/>
      <w:shd w:val="clear" w:color="auto" w:fill="E1DFDD"/>
    </w:rPr>
  </w:style>
  <w:style w:type="character" w:styleId="Strong">
    <w:name w:val="Strong"/>
    <w:basedOn w:val="DefaultParagraphFont"/>
    <w:uiPriority w:val="22"/>
    <w:qFormat/>
    <w:rsid w:val="008F5FFD"/>
    <w:rPr>
      <w:b/>
      <w:bCs/>
    </w:rPr>
  </w:style>
  <w:style w:type="character" w:customStyle="1" w:styleId="Heading1Char">
    <w:name w:val="Heading 1 Char"/>
    <w:basedOn w:val="DefaultParagraphFont"/>
    <w:link w:val="Heading1"/>
    <w:uiPriority w:val="9"/>
    <w:rsid w:val="00B520D7"/>
    <w:rPr>
      <w:rFonts w:ascii="Tahoma" w:eastAsiaTheme="majorEastAsia" w:hAnsi="Tahoma" w:cstheme="majorBidi"/>
      <w:b/>
      <w:color w:val="FF0000"/>
      <w:sz w:val="48"/>
      <w:szCs w:val="32"/>
    </w:rPr>
  </w:style>
  <w:style w:type="character" w:customStyle="1" w:styleId="UnresolvedMention6">
    <w:name w:val="Unresolved Mention6"/>
    <w:basedOn w:val="DefaultParagraphFont"/>
    <w:uiPriority w:val="99"/>
    <w:semiHidden/>
    <w:unhideWhenUsed/>
    <w:rsid w:val="0020415B"/>
    <w:rPr>
      <w:color w:val="605E5C"/>
      <w:shd w:val="clear" w:color="auto" w:fill="E1DFDD"/>
    </w:rPr>
  </w:style>
  <w:style w:type="character" w:styleId="CommentReference">
    <w:name w:val="annotation reference"/>
    <w:basedOn w:val="DefaultParagraphFont"/>
    <w:uiPriority w:val="99"/>
    <w:semiHidden/>
    <w:unhideWhenUsed/>
    <w:rsid w:val="00A00CC3"/>
    <w:rPr>
      <w:sz w:val="16"/>
      <w:szCs w:val="16"/>
    </w:rPr>
  </w:style>
  <w:style w:type="paragraph" w:styleId="CommentText">
    <w:name w:val="annotation text"/>
    <w:basedOn w:val="Normal"/>
    <w:link w:val="CommentTextChar"/>
    <w:uiPriority w:val="99"/>
    <w:semiHidden/>
    <w:unhideWhenUsed/>
    <w:rsid w:val="00A00CC3"/>
    <w:pPr>
      <w:spacing w:line="240" w:lineRule="auto"/>
    </w:pPr>
    <w:rPr>
      <w:sz w:val="20"/>
      <w:szCs w:val="20"/>
    </w:rPr>
  </w:style>
  <w:style w:type="character" w:customStyle="1" w:styleId="CommentTextChar">
    <w:name w:val="Comment Text Char"/>
    <w:basedOn w:val="DefaultParagraphFont"/>
    <w:link w:val="CommentText"/>
    <w:uiPriority w:val="99"/>
    <w:semiHidden/>
    <w:rsid w:val="00A00CC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00CC3"/>
    <w:rPr>
      <w:b/>
      <w:bCs/>
    </w:rPr>
  </w:style>
  <w:style w:type="character" w:customStyle="1" w:styleId="CommentSubjectChar">
    <w:name w:val="Comment Subject Char"/>
    <w:basedOn w:val="CommentTextChar"/>
    <w:link w:val="CommentSubject"/>
    <w:uiPriority w:val="99"/>
    <w:semiHidden/>
    <w:rsid w:val="00A00CC3"/>
    <w:rPr>
      <w:rFonts w:ascii="Arial" w:hAnsi="Arial"/>
      <w:b/>
      <w:bCs/>
      <w:sz w:val="20"/>
      <w:szCs w:val="20"/>
    </w:rPr>
  </w:style>
  <w:style w:type="character" w:customStyle="1" w:styleId="ListParagraphChar">
    <w:name w:val="List Paragraph Char"/>
    <w:link w:val="ListParagraph"/>
    <w:uiPriority w:val="34"/>
    <w:rsid w:val="00A00CC3"/>
    <w:rPr>
      <w:rFonts w:ascii="Arial" w:hAnsi="Arial"/>
      <w:sz w:val="28"/>
    </w:rPr>
  </w:style>
  <w:style w:type="paragraph" w:styleId="Revision">
    <w:name w:val="Revision"/>
    <w:hidden/>
    <w:uiPriority w:val="99"/>
    <w:semiHidden/>
    <w:rsid w:val="000716AF"/>
    <w:pPr>
      <w:spacing w:after="0" w:line="240" w:lineRule="auto"/>
    </w:pPr>
    <w:rPr>
      <w:rFonts w:ascii="Arial" w:hAnsi="Arial"/>
      <w:sz w:val="28"/>
    </w:rPr>
  </w:style>
  <w:style w:type="character" w:customStyle="1" w:styleId="UnresolvedMention7">
    <w:name w:val="Unresolved Mention7"/>
    <w:basedOn w:val="DefaultParagraphFont"/>
    <w:uiPriority w:val="99"/>
    <w:semiHidden/>
    <w:unhideWhenUsed/>
    <w:rsid w:val="00800B45"/>
    <w:rPr>
      <w:color w:val="605E5C"/>
      <w:shd w:val="clear" w:color="auto" w:fill="E1DFDD"/>
    </w:rPr>
  </w:style>
  <w:style w:type="paragraph" w:customStyle="1" w:styleId="Body">
    <w:name w:val="Body"/>
    <w:rsid w:val="00A13639"/>
    <w:pPr>
      <w:pBdr>
        <w:top w:val="nil"/>
        <w:left w:val="nil"/>
        <w:bottom w:val="nil"/>
        <w:right w:val="nil"/>
        <w:between w:val="nil"/>
        <w:bar w:val="nil"/>
      </w:pBdr>
      <w:spacing w:after="200" w:line="276" w:lineRule="auto"/>
    </w:pPr>
    <w:rPr>
      <w:rFonts w:ascii="Arial" w:eastAsia="Arial Unicode MS" w:hAnsi="Arial" w:cs="Arial Unicode MS"/>
      <w:color w:val="000000"/>
      <w:sz w:val="24"/>
      <w:szCs w:val="24"/>
      <w:u w:color="000000"/>
      <w:bdr w:val="nil"/>
      <w:lang w:val="en-US" w:eastAsia="en-GB"/>
    </w:rPr>
  </w:style>
  <w:style w:type="paragraph" w:styleId="BodyText">
    <w:name w:val="Body Text"/>
    <w:basedOn w:val="Normal"/>
    <w:link w:val="BodyTextChar"/>
    <w:uiPriority w:val="1"/>
    <w:rsid w:val="00802952"/>
    <w:pPr>
      <w:widowControl w:val="0"/>
      <w:spacing w:line="240" w:lineRule="auto"/>
      <w:ind w:left="1026"/>
    </w:pPr>
    <w:rPr>
      <w:rFonts w:eastAsia="Source Sans Pro Light" w:cs="Times New Roman"/>
      <w:szCs w:val="28"/>
      <w:lang w:val="en-US"/>
    </w:rPr>
  </w:style>
  <w:style w:type="character" w:customStyle="1" w:styleId="BodyTextChar">
    <w:name w:val="Body Text Char"/>
    <w:basedOn w:val="DefaultParagraphFont"/>
    <w:link w:val="BodyText"/>
    <w:uiPriority w:val="1"/>
    <w:rsid w:val="00802952"/>
    <w:rPr>
      <w:rFonts w:ascii="Tahoma" w:eastAsia="Source Sans Pro Light" w:hAnsi="Tahoma" w:cs="Times New Roman"/>
      <w:sz w:val="28"/>
      <w:szCs w:val="28"/>
      <w:lang w:val="en-US"/>
    </w:rPr>
  </w:style>
  <w:style w:type="character" w:customStyle="1" w:styleId="UnresolvedMention8">
    <w:name w:val="Unresolved Mention8"/>
    <w:basedOn w:val="DefaultParagraphFont"/>
    <w:uiPriority w:val="99"/>
    <w:semiHidden/>
    <w:unhideWhenUsed/>
    <w:rsid w:val="00F4612D"/>
    <w:rPr>
      <w:color w:val="605E5C"/>
      <w:shd w:val="clear" w:color="auto" w:fill="E1DFDD"/>
    </w:rPr>
  </w:style>
  <w:style w:type="character" w:styleId="Emphasis">
    <w:name w:val="Emphasis"/>
    <w:basedOn w:val="DefaultParagraphFont"/>
    <w:uiPriority w:val="20"/>
    <w:qFormat/>
    <w:rsid w:val="00372D7A"/>
    <w:rPr>
      <w:i/>
      <w:iCs/>
    </w:rPr>
  </w:style>
  <w:style w:type="character" w:customStyle="1" w:styleId="UnresolvedMention9">
    <w:name w:val="Unresolved Mention9"/>
    <w:basedOn w:val="DefaultParagraphFont"/>
    <w:uiPriority w:val="99"/>
    <w:semiHidden/>
    <w:unhideWhenUsed/>
    <w:rsid w:val="00E26FAA"/>
    <w:rPr>
      <w:color w:val="605E5C"/>
      <w:shd w:val="clear" w:color="auto" w:fill="E1DFDD"/>
    </w:rPr>
  </w:style>
  <w:style w:type="character" w:customStyle="1" w:styleId="Heading2Char">
    <w:name w:val="Heading 2 Char"/>
    <w:basedOn w:val="DefaultParagraphFont"/>
    <w:link w:val="Heading2"/>
    <w:uiPriority w:val="9"/>
    <w:rsid w:val="00B520D7"/>
    <w:rPr>
      <w:rFonts w:ascii="Tahoma" w:eastAsiaTheme="majorEastAsia" w:hAnsi="Tahoma" w:cstheme="majorBidi"/>
      <w:b/>
      <w:color w:val="008000"/>
      <w:sz w:val="36"/>
      <w:szCs w:val="26"/>
    </w:rPr>
  </w:style>
  <w:style w:type="paragraph" w:styleId="Bibliography">
    <w:name w:val="Bibliography"/>
    <w:basedOn w:val="Normal"/>
    <w:next w:val="Normal"/>
    <w:uiPriority w:val="37"/>
    <w:unhideWhenUsed/>
    <w:rsid w:val="00C11826"/>
  </w:style>
  <w:style w:type="paragraph" w:styleId="EndnoteText">
    <w:name w:val="endnote text"/>
    <w:basedOn w:val="Normal"/>
    <w:link w:val="EndnoteTextChar"/>
    <w:uiPriority w:val="99"/>
    <w:semiHidden/>
    <w:unhideWhenUsed/>
    <w:rsid w:val="00C1182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11826"/>
    <w:rPr>
      <w:rFonts w:ascii="Arial" w:hAnsi="Arial"/>
      <w:sz w:val="20"/>
      <w:szCs w:val="20"/>
    </w:rPr>
  </w:style>
  <w:style w:type="character" w:styleId="EndnoteReference">
    <w:name w:val="endnote reference"/>
    <w:basedOn w:val="DefaultParagraphFont"/>
    <w:uiPriority w:val="99"/>
    <w:semiHidden/>
    <w:unhideWhenUsed/>
    <w:rsid w:val="00C11826"/>
    <w:rPr>
      <w:vertAlign w:val="superscript"/>
    </w:rPr>
  </w:style>
  <w:style w:type="character" w:customStyle="1" w:styleId="UnresolvedMention10">
    <w:name w:val="Unresolved Mention10"/>
    <w:basedOn w:val="DefaultParagraphFont"/>
    <w:uiPriority w:val="99"/>
    <w:semiHidden/>
    <w:unhideWhenUsed/>
    <w:rsid w:val="00E707DF"/>
    <w:rPr>
      <w:color w:val="605E5C"/>
      <w:shd w:val="clear" w:color="auto" w:fill="E1DFDD"/>
    </w:rPr>
  </w:style>
  <w:style w:type="paragraph" w:styleId="TOCHeading">
    <w:name w:val="TOC Heading"/>
    <w:basedOn w:val="Heading1"/>
    <w:next w:val="Normal"/>
    <w:uiPriority w:val="39"/>
    <w:unhideWhenUsed/>
    <w:qFormat/>
    <w:rsid w:val="00D65F06"/>
    <w:pPr>
      <w:outlineLvl w:val="9"/>
    </w:pPr>
    <w:rPr>
      <w:rFonts w:asciiTheme="majorHAnsi" w:hAnsiTheme="majorHAnsi"/>
      <w:b w:val="0"/>
      <w:color w:val="2E74B5" w:themeColor="accent1" w:themeShade="BF"/>
      <w:sz w:val="32"/>
      <w:lang w:val="en-US"/>
    </w:rPr>
  </w:style>
  <w:style w:type="paragraph" w:styleId="TOC1">
    <w:name w:val="toc 1"/>
    <w:basedOn w:val="Normal"/>
    <w:next w:val="Normal"/>
    <w:autoRedefine/>
    <w:uiPriority w:val="39"/>
    <w:unhideWhenUsed/>
    <w:rsid w:val="00D65F06"/>
    <w:pPr>
      <w:spacing w:after="100"/>
    </w:pPr>
  </w:style>
  <w:style w:type="paragraph" w:styleId="TOC2">
    <w:name w:val="toc 2"/>
    <w:basedOn w:val="Normal"/>
    <w:next w:val="Normal"/>
    <w:autoRedefine/>
    <w:uiPriority w:val="39"/>
    <w:unhideWhenUsed/>
    <w:rsid w:val="00D65F06"/>
    <w:pPr>
      <w:spacing w:after="100"/>
      <w:ind w:left="280"/>
    </w:pPr>
  </w:style>
  <w:style w:type="character" w:styleId="UnresolvedMention">
    <w:name w:val="Unresolved Mention"/>
    <w:basedOn w:val="DefaultParagraphFont"/>
    <w:uiPriority w:val="99"/>
    <w:semiHidden/>
    <w:unhideWhenUsed/>
    <w:rsid w:val="004E3B63"/>
    <w:rPr>
      <w:color w:val="605E5C"/>
      <w:shd w:val="clear" w:color="auto" w:fill="E1DFDD"/>
    </w:rPr>
  </w:style>
  <w:style w:type="paragraph" w:styleId="NoSpacing">
    <w:name w:val="No Spacing"/>
    <w:link w:val="NoSpacingChar"/>
    <w:uiPriority w:val="1"/>
    <w:rsid w:val="00D62193"/>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D62193"/>
    <w:rPr>
      <w:rFonts w:eastAsiaTheme="minorEastAsia"/>
      <w:lang w:val="en-US"/>
    </w:rPr>
  </w:style>
  <w:style w:type="character" w:customStyle="1" w:styleId="Heading3Char">
    <w:name w:val="Heading 3 Char"/>
    <w:basedOn w:val="DefaultParagraphFont"/>
    <w:link w:val="Heading3"/>
    <w:uiPriority w:val="9"/>
    <w:rsid w:val="00C778D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6529">
      <w:bodyDiv w:val="1"/>
      <w:marLeft w:val="0"/>
      <w:marRight w:val="0"/>
      <w:marTop w:val="0"/>
      <w:marBottom w:val="0"/>
      <w:divBdr>
        <w:top w:val="none" w:sz="0" w:space="0" w:color="auto"/>
        <w:left w:val="none" w:sz="0" w:space="0" w:color="auto"/>
        <w:bottom w:val="none" w:sz="0" w:space="0" w:color="auto"/>
        <w:right w:val="none" w:sz="0" w:space="0" w:color="auto"/>
      </w:divBdr>
    </w:div>
    <w:div w:id="484392686">
      <w:bodyDiv w:val="1"/>
      <w:marLeft w:val="0"/>
      <w:marRight w:val="0"/>
      <w:marTop w:val="0"/>
      <w:marBottom w:val="0"/>
      <w:divBdr>
        <w:top w:val="none" w:sz="0" w:space="0" w:color="auto"/>
        <w:left w:val="none" w:sz="0" w:space="0" w:color="auto"/>
        <w:bottom w:val="none" w:sz="0" w:space="0" w:color="auto"/>
        <w:right w:val="none" w:sz="0" w:space="0" w:color="auto"/>
      </w:divBdr>
    </w:div>
    <w:div w:id="580916989">
      <w:bodyDiv w:val="1"/>
      <w:marLeft w:val="0"/>
      <w:marRight w:val="0"/>
      <w:marTop w:val="0"/>
      <w:marBottom w:val="0"/>
      <w:divBdr>
        <w:top w:val="none" w:sz="0" w:space="0" w:color="auto"/>
        <w:left w:val="none" w:sz="0" w:space="0" w:color="auto"/>
        <w:bottom w:val="none" w:sz="0" w:space="0" w:color="auto"/>
        <w:right w:val="none" w:sz="0" w:space="0" w:color="auto"/>
      </w:divBdr>
    </w:div>
    <w:div w:id="663314290">
      <w:bodyDiv w:val="1"/>
      <w:marLeft w:val="0"/>
      <w:marRight w:val="0"/>
      <w:marTop w:val="0"/>
      <w:marBottom w:val="0"/>
      <w:divBdr>
        <w:top w:val="none" w:sz="0" w:space="0" w:color="auto"/>
        <w:left w:val="none" w:sz="0" w:space="0" w:color="auto"/>
        <w:bottom w:val="none" w:sz="0" w:space="0" w:color="auto"/>
        <w:right w:val="none" w:sz="0" w:space="0" w:color="auto"/>
      </w:divBdr>
    </w:div>
    <w:div w:id="668795977">
      <w:bodyDiv w:val="1"/>
      <w:marLeft w:val="0"/>
      <w:marRight w:val="0"/>
      <w:marTop w:val="0"/>
      <w:marBottom w:val="0"/>
      <w:divBdr>
        <w:top w:val="none" w:sz="0" w:space="0" w:color="auto"/>
        <w:left w:val="none" w:sz="0" w:space="0" w:color="auto"/>
        <w:bottom w:val="none" w:sz="0" w:space="0" w:color="auto"/>
        <w:right w:val="none" w:sz="0" w:space="0" w:color="auto"/>
      </w:divBdr>
    </w:div>
    <w:div w:id="669143464">
      <w:bodyDiv w:val="1"/>
      <w:marLeft w:val="0"/>
      <w:marRight w:val="0"/>
      <w:marTop w:val="0"/>
      <w:marBottom w:val="0"/>
      <w:divBdr>
        <w:top w:val="none" w:sz="0" w:space="0" w:color="auto"/>
        <w:left w:val="none" w:sz="0" w:space="0" w:color="auto"/>
        <w:bottom w:val="none" w:sz="0" w:space="0" w:color="auto"/>
        <w:right w:val="none" w:sz="0" w:space="0" w:color="auto"/>
      </w:divBdr>
    </w:div>
    <w:div w:id="676078436">
      <w:bodyDiv w:val="1"/>
      <w:marLeft w:val="0"/>
      <w:marRight w:val="0"/>
      <w:marTop w:val="0"/>
      <w:marBottom w:val="0"/>
      <w:divBdr>
        <w:top w:val="none" w:sz="0" w:space="0" w:color="auto"/>
        <w:left w:val="none" w:sz="0" w:space="0" w:color="auto"/>
        <w:bottom w:val="none" w:sz="0" w:space="0" w:color="auto"/>
        <w:right w:val="none" w:sz="0" w:space="0" w:color="auto"/>
      </w:divBdr>
    </w:div>
    <w:div w:id="744381309">
      <w:bodyDiv w:val="1"/>
      <w:marLeft w:val="0"/>
      <w:marRight w:val="0"/>
      <w:marTop w:val="0"/>
      <w:marBottom w:val="0"/>
      <w:divBdr>
        <w:top w:val="none" w:sz="0" w:space="0" w:color="auto"/>
        <w:left w:val="none" w:sz="0" w:space="0" w:color="auto"/>
        <w:bottom w:val="none" w:sz="0" w:space="0" w:color="auto"/>
        <w:right w:val="none" w:sz="0" w:space="0" w:color="auto"/>
      </w:divBdr>
    </w:div>
    <w:div w:id="830103182">
      <w:bodyDiv w:val="1"/>
      <w:marLeft w:val="0"/>
      <w:marRight w:val="0"/>
      <w:marTop w:val="0"/>
      <w:marBottom w:val="0"/>
      <w:divBdr>
        <w:top w:val="none" w:sz="0" w:space="0" w:color="auto"/>
        <w:left w:val="none" w:sz="0" w:space="0" w:color="auto"/>
        <w:bottom w:val="none" w:sz="0" w:space="0" w:color="auto"/>
        <w:right w:val="none" w:sz="0" w:space="0" w:color="auto"/>
      </w:divBdr>
    </w:div>
    <w:div w:id="860557343">
      <w:bodyDiv w:val="1"/>
      <w:marLeft w:val="0"/>
      <w:marRight w:val="0"/>
      <w:marTop w:val="0"/>
      <w:marBottom w:val="0"/>
      <w:divBdr>
        <w:top w:val="none" w:sz="0" w:space="0" w:color="auto"/>
        <w:left w:val="none" w:sz="0" w:space="0" w:color="auto"/>
        <w:bottom w:val="none" w:sz="0" w:space="0" w:color="auto"/>
        <w:right w:val="none" w:sz="0" w:space="0" w:color="auto"/>
      </w:divBdr>
    </w:div>
    <w:div w:id="1358316742">
      <w:bodyDiv w:val="1"/>
      <w:marLeft w:val="0"/>
      <w:marRight w:val="0"/>
      <w:marTop w:val="0"/>
      <w:marBottom w:val="0"/>
      <w:divBdr>
        <w:top w:val="none" w:sz="0" w:space="0" w:color="auto"/>
        <w:left w:val="none" w:sz="0" w:space="0" w:color="auto"/>
        <w:bottom w:val="none" w:sz="0" w:space="0" w:color="auto"/>
        <w:right w:val="none" w:sz="0" w:space="0" w:color="auto"/>
      </w:divBdr>
    </w:div>
    <w:div w:id="1426657653">
      <w:bodyDiv w:val="1"/>
      <w:marLeft w:val="0"/>
      <w:marRight w:val="0"/>
      <w:marTop w:val="0"/>
      <w:marBottom w:val="0"/>
      <w:divBdr>
        <w:top w:val="none" w:sz="0" w:space="0" w:color="auto"/>
        <w:left w:val="none" w:sz="0" w:space="0" w:color="auto"/>
        <w:bottom w:val="none" w:sz="0" w:space="0" w:color="auto"/>
        <w:right w:val="none" w:sz="0" w:space="0" w:color="auto"/>
      </w:divBdr>
    </w:div>
    <w:div w:id="1438912504">
      <w:bodyDiv w:val="1"/>
      <w:marLeft w:val="0"/>
      <w:marRight w:val="0"/>
      <w:marTop w:val="0"/>
      <w:marBottom w:val="0"/>
      <w:divBdr>
        <w:top w:val="none" w:sz="0" w:space="0" w:color="auto"/>
        <w:left w:val="none" w:sz="0" w:space="0" w:color="auto"/>
        <w:bottom w:val="none" w:sz="0" w:space="0" w:color="auto"/>
        <w:right w:val="none" w:sz="0" w:space="0" w:color="auto"/>
      </w:divBdr>
    </w:div>
    <w:div w:id="1593976963">
      <w:bodyDiv w:val="1"/>
      <w:marLeft w:val="0"/>
      <w:marRight w:val="0"/>
      <w:marTop w:val="0"/>
      <w:marBottom w:val="0"/>
      <w:divBdr>
        <w:top w:val="none" w:sz="0" w:space="0" w:color="auto"/>
        <w:left w:val="none" w:sz="0" w:space="0" w:color="auto"/>
        <w:bottom w:val="none" w:sz="0" w:space="0" w:color="auto"/>
        <w:right w:val="none" w:sz="0" w:space="0" w:color="auto"/>
      </w:divBdr>
    </w:div>
    <w:div w:id="1626228149">
      <w:bodyDiv w:val="1"/>
      <w:marLeft w:val="0"/>
      <w:marRight w:val="0"/>
      <w:marTop w:val="0"/>
      <w:marBottom w:val="0"/>
      <w:divBdr>
        <w:top w:val="none" w:sz="0" w:space="0" w:color="auto"/>
        <w:left w:val="none" w:sz="0" w:space="0" w:color="auto"/>
        <w:bottom w:val="none" w:sz="0" w:space="0" w:color="auto"/>
        <w:right w:val="none" w:sz="0" w:space="0" w:color="auto"/>
      </w:divBdr>
    </w:div>
    <w:div w:id="1679037002">
      <w:bodyDiv w:val="1"/>
      <w:marLeft w:val="0"/>
      <w:marRight w:val="0"/>
      <w:marTop w:val="0"/>
      <w:marBottom w:val="0"/>
      <w:divBdr>
        <w:top w:val="none" w:sz="0" w:space="0" w:color="auto"/>
        <w:left w:val="none" w:sz="0" w:space="0" w:color="auto"/>
        <w:bottom w:val="none" w:sz="0" w:space="0" w:color="auto"/>
        <w:right w:val="none" w:sz="0" w:space="0" w:color="auto"/>
      </w:divBdr>
    </w:div>
    <w:div w:id="1791128901">
      <w:bodyDiv w:val="1"/>
      <w:marLeft w:val="0"/>
      <w:marRight w:val="0"/>
      <w:marTop w:val="0"/>
      <w:marBottom w:val="0"/>
      <w:divBdr>
        <w:top w:val="none" w:sz="0" w:space="0" w:color="auto"/>
        <w:left w:val="none" w:sz="0" w:space="0" w:color="auto"/>
        <w:bottom w:val="none" w:sz="0" w:space="0" w:color="auto"/>
        <w:right w:val="none" w:sz="0" w:space="0" w:color="auto"/>
      </w:divBdr>
    </w:div>
    <w:div w:id="1849755925">
      <w:bodyDiv w:val="1"/>
      <w:marLeft w:val="0"/>
      <w:marRight w:val="0"/>
      <w:marTop w:val="0"/>
      <w:marBottom w:val="0"/>
      <w:divBdr>
        <w:top w:val="none" w:sz="0" w:space="0" w:color="auto"/>
        <w:left w:val="none" w:sz="0" w:space="0" w:color="auto"/>
        <w:bottom w:val="none" w:sz="0" w:space="0" w:color="auto"/>
        <w:right w:val="none" w:sz="0" w:space="0" w:color="auto"/>
      </w:divBdr>
    </w:div>
    <w:div w:id="1869946388">
      <w:bodyDiv w:val="1"/>
      <w:marLeft w:val="0"/>
      <w:marRight w:val="0"/>
      <w:marTop w:val="0"/>
      <w:marBottom w:val="0"/>
      <w:divBdr>
        <w:top w:val="none" w:sz="0" w:space="0" w:color="auto"/>
        <w:left w:val="none" w:sz="0" w:space="0" w:color="auto"/>
        <w:bottom w:val="none" w:sz="0" w:space="0" w:color="auto"/>
        <w:right w:val="none" w:sz="0" w:space="0" w:color="auto"/>
      </w:divBdr>
    </w:div>
    <w:div w:id="1875341331">
      <w:bodyDiv w:val="1"/>
      <w:marLeft w:val="0"/>
      <w:marRight w:val="0"/>
      <w:marTop w:val="0"/>
      <w:marBottom w:val="0"/>
      <w:divBdr>
        <w:top w:val="none" w:sz="0" w:space="0" w:color="auto"/>
        <w:left w:val="none" w:sz="0" w:space="0" w:color="auto"/>
        <w:bottom w:val="none" w:sz="0" w:space="0" w:color="auto"/>
        <w:right w:val="none" w:sz="0" w:space="0" w:color="auto"/>
      </w:divBdr>
    </w:div>
    <w:div w:id="1896156102">
      <w:bodyDiv w:val="1"/>
      <w:marLeft w:val="0"/>
      <w:marRight w:val="0"/>
      <w:marTop w:val="0"/>
      <w:marBottom w:val="0"/>
      <w:divBdr>
        <w:top w:val="none" w:sz="0" w:space="0" w:color="auto"/>
        <w:left w:val="none" w:sz="0" w:space="0" w:color="auto"/>
        <w:bottom w:val="none" w:sz="0" w:space="0" w:color="auto"/>
        <w:right w:val="none" w:sz="0" w:space="0" w:color="auto"/>
      </w:divBdr>
    </w:div>
    <w:div w:id="2036228825">
      <w:bodyDiv w:val="1"/>
      <w:marLeft w:val="0"/>
      <w:marRight w:val="0"/>
      <w:marTop w:val="0"/>
      <w:marBottom w:val="0"/>
      <w:divBdr>
        <w:top w:val="none" w:sz="0" w:space="0" w:color="auto"/>
        <w:left w:val="none" w:sz="0" w:space="0" w:color="auto"/>
        <w:bottom w:val="none" w:sz="0" w:space="0" w:color="auto"/>
        <w:right w:val="none" w:sz="0" w:space="0" w:color="auto"/>
      </w:divBdr>
    </w:div>
    <w:div w:id="2053067937">
      <w:bodyDiv w:val="1"/>
      <w:marLeft w:val="0"/>
      <w:marRight w:val="0"/>
      <w:marTop w:val="0"/>
      <w:marBottom w:val="0"/>
      <w:divBdr>
        <w:top w:val="none" w:sz="0" w:space="0" w:color="auto"/>
        <w:left w:val="none" w:sz="0" w:space="0" w:color="auto"/>
        <w:bottom w:val="none" w:sz="0" w:space="0" w:color="auto"/>
        <w:right w:val="none" w:sz="0" w:space="0" w:color="auto"/>
      </w:divBdr>
      <w:divsChild>
        <w:div w:id="712075138">
          <w:marLeft w:val="0"/>
          <w:marRight w:val="0"/>
          <w:marTop w:val="0"/>
          <w:marBottom w:val="0"/>
          <w:divBdr>
            <w:top w:val="none" w:sz="0" w:space="0" w:color="auto"/>
            <w:left w:val="none" w:sz="0" w:space="0" w:color="auto"/>
            <w:bottom w:val="none" w:sz="0" w:space="0" w:color="auto"/>
            <w:right w:val="none" w:sz="0" w:space="0" w:color="auto"/>
          </w:divBdr>
        </w:div>
        <w:div w:id="414862955">
          <w:marLeft w:val="0"/>
          <w:marRight w:val="0"/>
          <w:marTop w:val="0"/>
          <w:marBottom w:val="0"/>
          <w:divBdr>
            <w:top w:val="none" w:sz="0" w:space="0" w:color="auto"/>
            <w:left w:val="none" w:sz="0" w:space="0" w:color="auto"/>
            <w:bottom w:val="none" w:sz="0" w:space="0" w:color="auto"/>
            <w:right w:val="none" w:sz="0" w:space="0" w:color="auto"/>
          </w:divBdr>
        </w:div>
        <w:div w:id="275991037">
          <w:marLeft w:val="0"/>
          <w:marRight w:val="0"/>
          <w:marTop w:val="0"/>
          <w:marBottom w:val="0"/>
          <w:divBdr>
            <w:top w:val="none" w:sz="0" w:space="0" w:color="auto"/>
            <w:left w:val="none" w:sz="0" w:space="0" w:color="auto"/>
            <w:bottom w:val="none" w:sz="0" w:space="0" w:color="auto"/>
            <w:right w:val="none" w:sz="0" w:space="0" w:color="auto"/>
          </w:divBdr>
        </w:div>
        <w:div w:id="386534487">
          <w:marLeft w:val="0"/>
          <w:marRight w:val="0"/>
          <w:marTop w:val="0"/>
          <w:marBottom w:val="0"/>
          <w:divBdr>
            <w:top w:val="none" w:sz="0" w:space="0" w:color="auto"/>
            <w:left w:val="none" w:sz="0" w:space="0" w:color="auto"/>
            <w:bottom w:val="none" w:sz="0" w:space="0" w:color="auto"/>
            <w:right w:val="none" w:sz="0" w:space="0" w:color="auto"/>
          </w:divBdr>
        </w:div>
      </w:divsChild>
    </w:div>
    <w:div w:id="2138792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equalityhumanrights.com/en/publication-download/housing-and-disabled-people-toolkit-local-authorities-england" TargetMode="External"/><Relationship Id="rId1" Type="http://schemas.openxmlformats.org/officeDocument/2006/relationships/hyperlink" Target="https://data.mer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Placeholder1</b:Tag>
    <b:SourceType>Book</b:SourceType>
    <b:Guid>{0488021E-E697-4644-A085-1A68540CC3C3}</b:Guid>
    <b:RefOrder>1</b:RefOrder>
  </b:Source>
</b:Sources>
</file>

<file path=customXml/itemProps1.xml><?xml version="1.0" encoding="utf-8"?>
<ds:datastoreItem xmlns:ds="http://schemas.openxmlformats.org/officeDocument/2006/customXml" ds:itemID="{ABD39AC9-A31F-464F-A561-051ACAE4D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1619</Words>
  <Characters>9233</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MichaelT</dc:creator>
  <cp:lastModifiedBy>Charlet Wilson</cp:lastModifiedBy>
  <cp:revision>2</cp:revision>
  <cp:lastPrinted>2018-10-15T23:21:00Z</cp:lastPrinted>
  <dcterms:created xsi:type="dcterms:W3CDTF">2021-10-06T14:37:00Z</dcterms:created>
  <dcterms:modified xsi:type="dcterms:W3CDTF">2021-10-06T14:37:00Z</dcterms:modified>
</cp:coreProperties>
</file>